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4F4AF">
      <w:pPr>
        <w:pStyle w:val="20"/>
      </w:pPr>
      <w:r>
        <w:t>某轻型轿车基于SolidWorks的制动器优化设计</w:t>
      </w:r>
    </w:p>
    <w:p w14:paraId="257638A9">
      <w:pPr>
        <w:pStyle w:val="77"/>
        <w:widowControl/>
      </w:pPr>
      <w:bookmarkStart w:id="0" w:name="_Toc26110"/>
      <w:bookmarkStart w:id="1" w:name="摘要"/>
      <w:r>
        <w:t>摘要</w:t>
      </w:r>
      <w:bookmarkEnd w:id="0"/>
    </w:p>
    <w:p w14:paraId="7CD5A4C7">
      <w:pPr>
        <w:pStyle w:val="3"/>
        <w:rPr>
          <w:rFonts w:ascii="Times New Roman" w:hAnsi="Times New Roman" w:eastAsia="宋体" w:cs="Times New Roman"/>
          <w:sz w:val="24"/>
          <w:szCs w:val="24"/>
        </w:rPr>
      </w:pPr>
      <w:r>
        <w:rPr>
          <w:rFonts w:ascii="Times New Roman" w:hAnsi="Times New Roman" w:eastAsia="宋体" w:cs="Times New Roman"/>
          <w:sz w:val="24"/>
          <w:szCs w:val="24"/>
        </w:rPr>
        <w:t>随着汽车工业的快速发展和新能源汽车的普及，车辆的制动系统在整车安全性、舒适性和能耗方面扮演着至关重要的角色。制动器作为汽车安全系统的核心部件，其性能直接影响到车辆的制动距离、制动稳定性和驾驶体验。本设计以某轻型轿车盘式制动器为研究对象，结合SolidWorks三维建模软件与ANSYS有限元分析平台，对制动盘进行结构优化设计。设计内容主要包括制动器关键零部件的参数化建模、静力学与模态仿真分析，以及基于拓扑优化的轻量化与散热性能提升。设计意义在于通过先进的计算机辅助工程（CAE）技术，在保证制动器强度和刚度满足安全要求的前提下，实现制动盘的减重和散热结构的优化，从而提高车辆的制动效能，降低簧下质量，提升整车的动力性与经济性。本文详细阐述了制动器的设计计算过程、有限元仿真结果对比及优化方案的验证，为轻型轿车制动器的研发提供了理论依据和技术参考。</w:t>
      </w:r>
    </w:p>
    <w:p w14:paraId="2CF212A6">
      <w:pPr>
        <w:pStyle w:val="3"/>
        <w:ind w:left="0" w:leftChars="0" w:firstLine="0" w:firstLineChars="0"/>
        <w:rPr>
          <w:rStyle w:val="76"/>
          <w:rFonts w:hint="eastAsia" w:eastAsia="宋体"/>
          <w:lang w:eastAsia="zh-CN"/>
        </w:rPr>
      </w:pPr>
    </w:p>
    <w:p w14:paraId="733ED28C">
      <w:pPr>
        <w:pStyle w:val="3"/>
        <w:ind w:left="0" w:leftChars="0" w:firstLine="0" w:firstLineChars="0"/>
        <w:rPr>
          <w:rFonts w:ascii="Times New Roman" w:hAnsi="Times New Roman" w:eastAsia="宋体" w:cs="Times New Roman"/>
          <w:sz w:val="24"/>
          <w:szCs w:val="24"/>
        </w:rPr>
      </w:pPr>
      <w:r>
        <w:rPr>
          <w:rStyle w:val="76"/>
        </w:rPr>
        <w:t>关键词：</w:t>
      </w:r>
      <w:r>
        <w:rPr>
          <w:rFonts w:ascii="Times New Roman" w:hAnsi="Times New Roman" w:eastAsia="宋体" w:cs="Times New Roman"/>
          <w:sz w:val="24"/>
          <w:szCs w:val="24"/>
        </w:rPr>
        <w:t>轻型轿车；盘式制动器；SolidWorks；有限元分析；拓扑优化</w:t>
      </w:r>
    </w:p>
    <w:p w14:paraId="464E4A08">
      <w:pPr>
        <w:pStyle w:val="3"/>
        <w:ind w:left="0" w:leftChars="0"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br w:type="page"/>
      </w:r>
    </w:p>
    <w:bookmarkEnd w:id="1"/>
    <w:p w14:paraId="2BEE5DEA">
      <w:pPr>
        <w:pStyle w:val="77"/>
        <w:widowControl/>
      </w:pPr>
      <w:bookmarkStart w:id="2" w:name="_Toc16109"/>
      <w:bookmarkStart w:id="3" w:name="abstract"/>
      <w:r>
        <w:t>Abstract</w:t>
      </w:r>
      <w:bookmarkEnd w:id="2"/>
    </w:p>
    <w:p w14:paraId="3B1B4B6A">
      <w:pPr>
        <w:pStyle w:val="3"/>
        <w:rPr>
          <w:rFonts w:ascii="Times New Roman" w:hAnsi="Times New Roman" w:eastAsia="宋体" w:cs="Times New Roman"/>
          <w:sz w:val="24"/>
          <w:szCs w:val="24"/>
        </w:rPr>
      </w:pPr>
      <w:r>
        <w:rPr>
          <w:rFonts w:ascii="Times New Roman" w:hAnsi="Times New Roman" w:eastAsia="宋体" w:cs="Times New Roman"/>
          <w:sz w:val="24"/>
          <w:szCs w:val="24"/>
        </w:rPr>
        <w:t>With the rapid development of the automotive industry and the popularization of new energy vehicles, the vehicle braking system plays a crucial role in the safety, comfort, and energy consumption of the whole vehicle. As the core component of the automobile safety system, the performance of the brake directly affects the braking distance, braking stability, and driving experience of the vehicle. This design takes the disc brake of a light passenger car as the research object, combines the SolidWorks three-dimensional modeling software and the ANSYS finite element analysis platform, and carries out the structural optimization design of the brake disc. The design content mainly includes the parametric modeling of the key components of the brake, the statics and modal simulation analysis, and the lightweight and heat dissipation performance improvement based on topology optimization. The significance of the design is to realize the weight reduction of the brake disc and the optimization of the heat dissipation structure on the premise of ensuring that the strength and stiffness of the brake meet the safety requirements through advanced computer-aided engineering (CAE) technology, thereby improving the braking efficiency of the vehicle, reducing the unsprung mass, and enhancing the power and economy of the whole vehicle. This paper expounds the design and calculation process of the brake, the comparison of finite element simulation results and the verification of the optimization scheme, providing theoretical basis and technical reference for the research and development of light passenger car brakes.</w:t>
      </w:r>
    </w:p>
    <w:p w14:paraId="5DCD9F2B">
      <w:pPr>
        <w:pStyle w:val="3"/>
        <w:ind w:left="0" w:leftChars="0" w:firstLine="0" w:firstLineChars="0"/>
        <w:rPr>
          <w:rStyle w:val="76"/>
          <w:rFonts w:hint="eastAsia" w:eastAsia="宋体"/>
          <w:lang w:eastAsia="zh-CN"/>
        </w:rPr>
      </w:pPr>
    </w:p>
    <w:p w14:paraId="6579E913">
      <w:pPr>
        <w:pStyle w:val="3"/>
        <w:ind w:left="0" w:leftChars="0" w:firstLine="0" w:firstLineChars="0"/>
        <w:rPr>
          <w:rFonts w:ascii="Times New Roman" w:hAnsi="Times New Roman" w:eastAsia="宋体" w:cs="Times New Roman"/>
          <w:sz w:val="24"/>
          <w:szCs w:val="24"/>
        </w:rPr>
      </w:pPr>
      <w:r>
        <w:rPr>
          <w:rStyle w:val="76"/>
        </w:rPr>
        <w:t>Keywords:</w:t>
      </w:r>
      <w:r>
        <w:rPr>
          <w:rFonts w:ascii="Times New Roman" w:hAnsi="Times New Roman" w:eastAsia="宋体" w:cs="Times New Roman"/>
          <w:sz w:val="24"/>
          <w:szCs w:val="24"/>
        </w:rPr>
        <w:t xml:space="preserve"> Light Passenger Car; Disc Brake; SolidWorks; Finite Element Analysis; Topology Optimization</w:t>
      </w:r>
    </w:p>
    <w:p w14:paraId="0E3279F6">
      <w:pPr>
        <w:pStyle w:val="3"/>
        <w:ind w:left="0" w:leftChars="0"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br w:type="page"/>
      </w:r>
    </w:p>
    <w:sdt>
      <w:sdtPr>
        <w:rPr>
          <w:rFonts w:ascii="宋体" w:hAnsi="宋体" w:eastAsia="宋体" w:cstheme="minorBidi"/>
          <w:sz w:val="21"/>
          <w:szCs w:val="24"/>
          <w:lang w:val="en-US" w:eastAsia="en-US" w:bidi="ar-SA"/>
        </w:rPr>
        <w:id w:val="147456681"/>
        <w15:color w:val="DBDBDB"/>
        <w:docPartObj>
          <w:docPartGallery w:val="Table of Contents"/>
          <w:docPartUnique/>
        </w:docPartObj>
      </w:sdtPr>
      <w:sdtEndPr>
        <w:rPr>
          <w:rFonts w:ascii="Times New Roman" w:hAnsi="Times New Roman" w:eastAsia="宋体" w:cs="Times New Roman"/>
          <w:kern w:val="2"/>
          <w:sz w:val="24"/>
          <w:szCs w:val="24"/>
          <w:lang w:bidi="ar-SA"/>
        </w:rPr>
      </w:sdtEndPr>
      <w:sdtContent>
        <w:p w14:paraId="053DA962">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1B14C8E">
          <w:pPr>
            <w:pStyle w:val="16"/>
            <w:tabs>
              <w:tab w:val="right" w:leader="dot" w:pos="8640"/>
            </w:tabs>
          </w:pPr>
          <w:r>
            <w:rPr>
              <w:rFonts w:ascii="Times New Roman" w:hAnsi="Times New Roman" w:eastAsia="宋体" w:cs="Times New Roman"/>
              <w:sz w:val="24"/>
              <w:szCs w:val="24"/>
            </w:rPr>
            <w:fldChar w:fldCharType="begin"/>
          </w:r>
          <w:r>
            <w:rPr>
              <w:rFonts w:ascii="Times New Roman" w:hAnsi="Times New Roman" w:eastAsia="宋体" w:cs="Times New Roman"/>
              <w:sz w:val="24"/>
              <w:szCs w:val="24"/>
            </w:rPr>
            <w:instrText xml:space="preserve">TOC \o "1-3" \h \u </w:instrText>
          </w:r>
          <w:r>
            <w:rPr>
              <w:rFonts w:ascii="Times New Roman" w:hAnsi="Times New Roman" w:eastAsia="宋体" w:cs="Times New Roman"/>
              <w:sz w:val="24"/>
              <w:szCs w:val="24"/>
            </w:rPr>
            <w:fldChar w:fldCharType="separate"/>
          </w: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_Toc26110 </w:instrText>
          </w:r>
          <w:r>
            <w:rPr>
              <w:rFonts w:ascii="Times New Roman" w:hAnsi="Times New Roman" w:eastAsia="宋体" w:cs="Times New Roman"/>
              <w:szCs w:val="24"/>
            </w:rPr>
            <w:fldChar w:fldCharType="separate"/>
          </w:r>
          <w:r>
            <w:t>摘要</w:t>
          </w:r>
          <w:r>
            <w:tab/>
          </w:r>
          <w:r>
            <w:fldChar w:fldCharType="begin"/>
          </w:r>
          <w:r>
            <w:instrText xml:space="preserve"> PAGEREF _Toc26110 \h </w:instrText>
          </w:r>
          <w:r>
            <w:fldChar w:fldCharType="separate"/>
          </w:r>
          <w:r>
            <w:t>1</w:t>
          </w:r>
          <w:r>
            <w:fldChar w:fldCharType="end"/>
          </w:r>
          <w:r>
            <w:rPr>
              <w:rFonts w:ascii="Times New Roman" w:hAnsi="Times New Roman" w:eastAsia="宋体" w:cs="Times New Roman"/>
              <w:szCs w:val="24"/>
            </w:rPr>
            <w:fldChar w:fldCharType="end"/>
          </w:r>
        </w:p>
        <w:p w14:paraId="4DE2B19A">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_Toc16109 </w:instrText>
          </w:r>
          <w:r>
            <w:rPr>
              <w:rFonts w:ascii="Times New Roman" w:hAnsi="Times New Roman" w:eastAsia="宋体" w:cs="Times New Roman"/>
              <w:szCs w:val="24"/>
            </w:rPr>
            <w:fldChar w:fldCharType="separate"/>
          </w:r>
          <w:r>
            <w:t>Abstract</w:t>
          </w:r>
          <w:r>
            <w:tab/>
          </w:r>
          <w:r>
            <w:fldChar w:fldCharType="begin"/>
          </w:r>
          <w:r>
            <w:instrText xml:space="preserve"> PAGEREF _Toc16109 \h </w:instrText>
          </w:r>
          <w:r>
            <w:fldChar w:fldCharType="separate"/>
          </w:r>
          <w:r>
            <w:t>2</w:t>
          </w:r>
          <w:r>
            <w:fldChar w:fldCharType="end"/>
          </w:r>
          <w:r>
            <w:rPr>
              <w:rFonts w:ascii="Times New Roman" w:hAnsi="Times New Roman" w:eastAsia="宋体" w:cs="Times New Roman"/>
              <w:szCs w:val="24"/>
            </w:rPr>
            <w:fldChar w:fldCharType="end"/>
          </w:r>
        </w:p>
        <w:p w14:paraId="10BC0BBD">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_Toc31465 </w:instrText>
          </w:r>
          <w:r>
            <w:rPr>
              <w:rFonts w:ascii="Times New Roman" w:hAnsi="Times New Roman" w:eastAsia="宋体" w:cs="Times New Roman"/>
              <w:szCs w:val="24"/>
            </w:rPr>
            <w:fldChar w:fldCharType="separate"/>
          </w:r>
          <w:r>
            <w:rPr>
              <w:rFonts w:hint="eastAsia"/>
              <w:bdr w:val="none" w:sz="0" w:space="0"/>
            </w:rPr>
            <w:t xml:space="preserve">第一章 </w:t>
          </w:r>
          <w:r>
            <w:t>绪论</w:t>
          </w:r>
          <w:r>
            <w:tab/>
          </w:r>
          <w:r>
            <w:fldChar w:fldCharType="begin"/>
          </w:r>
          <w:r>
            <w:instrText xml:space="preserve"> PAGEREF _Toc31465 \h </w:instrText>
          </w:r>
          <w:r>
            <w:fldChar w:fldCharType="separate"/>
          </w:r>
          <w:r>
            <w:t>5</w:t>
          </w:r>
          <w:r>
            <w:fldChar w:fldCharType="end"/>
          </w:r>
          <w:r>
            <w:rPr>
              <w:rFonts w:ascii="Times New Roman" w:hAnsi="Times New Roman" w:eastAsia="宋体" w:cs="Times New Roman"/>
              <w:szCs w:val="24"/>
            </w:rPr>
            <w:fldChar w:fldCharType="end"/>
          </w:r>
        </w:p>
        <w:p w14:paraId="062D9D88">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_Toc12110 </w:instrText>
          </w:r>
          <w:r>
            <w:rPr>
              <w:rFonts w:ascii="Times New Roman" w:hAnsi="Times New Roman" w:eastAsia="宋体" w:cs="Times New Roman"/>
              <w:szCs w:val="24"/>
            </w:rPr>
            <w:fldChar w:fldCharType="separate"/>
          </w:r>
          <w:r>
            <w:rPr>
              <w:rFonts w:hint="default"/>
              <w:bdr w:val="none" w:sz="0" w:space="0"/>
            </w:rPr>
            <w:t xml:space="preserve">1.1 </w:t>
          </w:r>
          <w:r>
            <w:t>设计目的</w:t>
          </w:r>
          <w:r>
            <w:tab/>
          </w:r>
          <w:r>
            <w:fldChar w:fldCharType="begin"/>
          </w:r>
          <w:r>
            <w:instrText xml:space="preserve"> PAGEREF _Toc12110 \h </w:instrText>
          </w:r>
          <w:r>
            <w:fldChar w:fldCharType="separate"/>
          </w:r>
          <w:r>
            <w:t>5</w:t>
          </w:r>
          <w:r>
            <w:fldChar w:fldCharType="end"/>
          </w:r>
          <w:r>
            <w:rPr>
              <w:rFonts w:ascii="Times New Roman" w:hAnsi="Times New Roman" w:eastAsia="宋体" w:cs="Times New Roman"/>
              <w:szCs w:val="24"/>
            </w:rPr>
            <w:fldChar w:fldCharType="end"/>
          </w:r>
        </w:p>
        <w:p w14:paraId="2DE415C2">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_Toc25347 </w:instrText>
          </w:r>
          <w:r>
            <w:rPr>
              <w:rFonts w:ascii="Times New Roman" w:hAnsi="Times New Roman" w:eastAsia="宋体" w:cs="Times New Roman"/>
              <w:szCs w:val="24"/>
            </w:rPr>
            <w:fldChar w:fldCharType="separate"/>
          </w:r>
          <w:r>
            <w:rPr>
              <w:rFonts w:hint="default"/>
              <w:bdr w:val="none" w:sz="0" w:space="0"/>
            </w:rPr>
            <w:t xml:space="preserve">1.2 </w:t>
          </w:r>
          <w:r>
            <w:t>设计意义</w:t>
          </w:r>
          <w:r>
            <w:tab/>
          </w:r>
          <w:r>
            <w:fldChar w:fldCharType="begin"/>
          </w:r>
          <w:r>
            <w:instrText xml:space="preserve"> PAGEREF _Toc25347 \h </w:instrText>
          </w:r>
          <w:r>
            <w:fldChar w:fldCharType="separate"/>
          </w:r>
          <w:r>
            <w:t>5</w:t>
          </w:r>
          <w:r>
            <w:fldChar w:fldCharType="end"/>
          </w:r>
          <w:r>
            <w:rPr>
              <w:rFonts w:ascii="Times New Roman" w:hAnsi="Times New Roman" w:eastAsia="宋体" w:cs="Times New Roman"/>
              <w:szCs w:val="24"/>
            </w:rPr>
            <w:fldChar w:fldCharType="end"/>
          </w:r>
        </w:p>
        <w:p w14:paraId="3B520F99">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_Toc30570 </w:instrText>
          </w:r>
          <w:r>
            <w:rPr>
              <w:rFonts w:ascii="Times New Roman" w:hAnsi="Times New Roman" w:eastAsia="宋体" w:cs="Times New Roman"/>
              <w:szCs w:val="24"/>
            </w:rPr>
            <w:fldChar w:fldCharType="separate"/>
          </w:r>
          <w:r>
            <w:rPr>
              <w:rFonts w:hint="default"/>
              <w:bdr w:val="none" w:sz="0" w:space="0"/>
            </w:rPr>
            <w:t xml:space="preserve">1.3 </w:t>
          </w:r>
          <w:r>
            <w:t>国内外现状</w:t>
          </w:r>
          <w:r>
            <w:tab/>
          </w:r>
          <w:r>
            <w:fldChar w:fldCharType="begin"/>
          </w:r>
          <w:r>
            <w:instrText xml:space="preserve"> PAGEREF _Toc30570 \h </w:instrText>
          </w:r>
          <w:r>
            <w:fldChar w:fldCharType="separate"/>
          </w:r>
          <w:r>
            <w:t>6</w:t>
          </w:r>
          <w:r>
            <w:fldChar w:fldCharType="end"/>
          </w:r>
          <w:r>
            <w:rPr>
              <w:rFonts w:ascii="Times New Roman" w:hAnsi="Times New Roman" w:eastAsia="宋体" w:cs="Times New Roman"/>
              <w:szCs w:val="24"/>
            </w:rPr>
            <w:fldChar w:fldCharType="end"/>
          </w:r>
        </w:p>
        <w:p w14:paraId="780516E2">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_Toc1295 </w:instrText>
          </w:r>
          <w:r>
            <w:rPr>
              <w:rFonts w:ascii="Times New Roman" w:hAnsi="Times New Roman" w:eastAsia="宋体" w:cs="Times New Roman"/>
              <w:szCs w:val="24"/>
            </w:rPr>
            <w:fldChar w:fldCharType="separate"/>
          </w:r>
          <w:r>
            <w:rPr>
              <w:rFonts w:hint="default"/>
              <w:bdr w:val="none" w:sz="0" w:space="0"/>
            </w:rPr>
            <w:t xml:space="preserve">1.3.1 </w:t>
          </w:r>
          <w:r>
            <w:t>国内现状</w:t>
          </w:r>
          <w:r>
            <w:tab/>
          </w:r>
          <w:r>
            <w:fldChar w:fldCharType="begin"/>
          </w:r>
          <w:r>
            <w:instrText xml:space="preserve"> PAGEREF _Toc1295 \h </w:instrText>
          </w:r>
          <w:r>
            <w:fldChar w:fldCharType="separate"/>
          </w:r>
          <w:r>
            <w:t>6</w:t>
          </w:r>
          <w:r>
            <w:fldChar w:fldCharType="end"/>
          </w:r>
          <w:r>
            <w:rPr>
              <w:rFonts w:ascii="Times New Roman" w:hAnsi="Times New Roman" w:eastAsia="宋体" w:cs="Times New Roman"/>
              <w:szCs w:val="24"/>
            </w:rPr>
            <w:fldChar w:fldCharType="end"/>
          </w:r>
        </w:p>
        <w:p w14:paraId="30AA1EDE">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_Toc12100 </w:instrText>
          </w:r>
          <w:r>
            <w:rPr>
              <w:rFonts w:ascii="Times New Roman" w:hAnsi="Times New Roman" w:eastAsia="宋体" w:cs="Times New Roman"/>
              <w:szCs w:val="24"/>
            </w:rPr>
            <w:fldChar w:fldCharType="separate"/>
          </w:r>
          <w:r>
            <w:rPr>
              <w:rFonts w:hint="default"/>
              <w:bdr w:val="none" w:sz="0" w:space="0"/>
            </w:rPr>
            <w:t xml:space="preserve">1.3.2 </w:t>
          </w:r>
          <w:r>
            <w:t>国外现状</w:t>
          </w:r>
          <w:r>
            <w:tab/>
          </w:r>
          <w:r>
            <w:fldChar w:fldCharType="begin"/>
          </w:r>
          <w:r>
            <w:instrText xml:space="preserve"> PAGEREF _Toc12100 \h </w:instrText>
          </w:r>
          <w:r>
            <w:fldChar w:fldCharType="separate"/>
          </w:r>
          <w:r>
            <w:t>8</w:t>
          </w:r>
          <w:r>
            <w:fldChar w:fldCharType="end"/>
          </w:r>
          <w:r>
            <w:rPr>
              <w:rFonts w:ascii="Times New Roman" w:hAnsi="Times New Roman" w:eastAsia="宋体" w:cs="Times New Roman"/>
              <w:szCs w:val="24"/>
            </w:rPr>
            <w:fldChar w:fldCharType="end"/>
          </w:r>
        </w:p>
        <w:p w14:paraId="76CC0A2D">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_Toc23592 </w:instrText>
          </w:r>
          <w:r>
            <w:rPr>
              <w:rFonts w:ascii="Times New Roman" w:hAnsi="Times New Roman" w:eastAsia="宋体" w:cs="Times New Roman"/>
              <w:szCs w:val="24"/>
            </w:rPr>
            <w:fldChar w:fldCharType="separate"/>
          </w:r>
          <w:r>
            <w:rPr>
              <w:rFonts w:hint="default"/>
              <w:bdr w:val="none" w:sz="0" w:space="0"/>
            </w:rPr>
            <w:t xml:space="preserve">1.4 </w:t>
          </w:r>
          <w:r>
            <w:t>发展趋势</w:t>
          </w:r>
          <w:r>
            <w:tab/>
          </w:r>
          <w:r>
            <w:fldChar w:fldCharType="begin"/>
          </w:r>
          <w:r>
            <w:instrText xml:space="preserve"> PAGEREF _Toc23592 \h </w:instrText>
          </w:r>
          <w:r>
            <w:fldChar w:fldCharType="separate"/>
          </w:r>
          <w:r>
            <w:t>10</w:t>
          </w:r>
          <w:r>
            <w:fldChar w:fldCharType="end"/>
          </w:r>
          <w:r>
            <w:rPr>
              <w:rFonts w:ascii="Times New Roman" w:hAnsi="Times New Roman" w:eastAsia="宋体" w:cs="Times New Roman"/>
              <w:szCs w:val="24"/>
            </w:rPr>
            <w:fldChar w:fldCharType="end"/>
          </w:r>
        </w:p>
        <w:p w14:paraId="6E3CB1C2">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_Toc9254 </w:instrText>
          </w:r>
          <w:r>
            <w:rPr>
              <w:rFonts w:ascii="Times New Roman" w:hAnsi="Times New Roman" w:eastAsia="宋体" w:cs="Times New Roman"/>
              <w:szCs w:val="24"/>
            </w:rPr>
            <w:fldChar w:fldCharType="separate"/>
          </w:r>
          <w:r>
            <w:rPr>
              <w:rFonts w:hint="default"/>
              <w:bdr w:val="none" w:sz="0" w:space="0"/>
            </w:rPr>
            <w:t xml:space="preserve">1.5 </w:t>
          </w:r>
          <w:r>
            <w:t>设计内容、设计方法、设计难点</w:t>
          </w:r>
          <w:r>
            <w:tab/>
          </w:r>
          <w:r>
            <w:fldChar w:fldCharType="begin"/>
          </w:r>
          <w:r>
            <w:instrText xml:space="preserve"> PAGEREF _Toc9254 \h </w:instrText>
          </w:r>
          <w:r>
            <w:fldChar w:fldCharType="separate"/>
          </w:r>
          <w:r>
            <w:t>10</w:t>
          </w:r>
          <w:r>
            <w:fldChar w:fldCharType="end"/>
          </w:r>
          <w:r>
            <w:rPr>
              <w:rFonts w:ascii="Times New Roman" w:hAnsi="Times New Roman" w:eastAsia="宋体" w:cs="Times New Roman"/>
              <w:szCs w:val="24"/>
            </w:rPr>
            <w:fldChar w:fldCharType="end"/>
          </w:r>
        </w:p>
        <w:p w14:paraId="3CBCB403">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_Toc11427 </w:instrText>
          </w:r>
          <w:r>
            <w:rPr>
              <w:rFonts w:ascii="Times New Roman" w:hAnsi="Times New Roman" w:eastAsia="宋体" w:cs="Times New Roman"/>
              <w:szCs w:val="24"/>
            </w:rPr>
            <w:fldChar w:fldCharType="separate"/>
          </w:r>
          <w:r>
            <w:rPr>
              <w:rFonts w:hint="default"/>
              <w:bdr w:val="none" w:sz="0" w:space="0"/>
            </w:rPr>
            <w:t xml:space="preserve">1.5.1 </w:t>
          </w:r>
          <w:r>
            <w:t>设计内容</w:t>
          </w:r>
          <w:r>
            <w:tab/>
          </w:r>
          <w:r>
            <w:fldChar w:fldCharType="begin"/>
          </w:r>
          <w:r>
            <w:instrText xml:space="preserve"> PAGEREF _Toc11427 \h </w:instrText>
          </w:r>
          <w:r>
            <w:fldChar w:fldCharType="separate"/>
          </w:r>
          <w:r>
            <w:t>10</w:t>
          </w:r>
          <w:r>
            <w:fldChar w:fldCharType="end"/>
          </w:r>
          <w:r>
            <w:rPr>
              <w:rFonts w:ascii="Times New Roman" w:hAnsi="Times New Roman" w:eastAsia="宋体" w:cs="Times New Roman"/>
              <w:szCs w:val="24"/>
            </w:rPr>
            <w:fldChar w:fldCharType="end"/>
          </w:r>
        </w:p>
        <w:p w14:paraId="54D6D6A1">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_Toc19575 </w:instrText>
          </w:r>
          <w:r>
            <w:rPr>
              <w:rFonts w:ascii="Times New Roman" w:hAnsi="Times New Roman" w:eastAsia="宋体" w:cs="Times New Roman"/>
              <w:szCs w:val="24"/>
            </w:rPr>
            <w:fldChar w:fldCharType="separate"/>
          </w:r>
          <w:r>
            <w:rPr>
              <w:rFonts w:hint="default"/>
              <w:bdr w:val="none" w:sz="0" w:space="0"/>
            </w:rPr>
            <w:t xml:space="preserve">1.5.2 </w:t>
          </w:r>
          <w:r>
            <w:t>设计方法</w:t>
          </w:r>
          <w:r>
            <w:tab/>
          </w:r>
          <w:r>
            <w:fldChar w:fldCharType="begin"/>
          </w:r>
          <w:r>
            <w:instrText xml:space="preserve"> PAGEREF _Toc19575 \h </w:instrText>
          </w:r>
          <w:r>
            <w:fldChar w:fldCharType="separate"/>
          </w:r>
          <w:r>
            <w:t>11</w:t>
          </w:r>
          <w:r>
            <w:fldChar w:fldCharType="end"/>
          </w:r>
          <w:r>
            <w:rPr>
              <w:rFonts w:ascii="Times New Roman" w:hAnsi="Times New Roman" w:eastAsia="宋体" w:cs="Times New Roman"/>
              <w:szCs w:val="24"/>
            </w:rPr>
            <w:fldChar w:fldCharType="end"/>
          </w:r>
        </w:p>
        <w:p w14:paraId="7F8457BF">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_Toc28936 </w:instrText>
          </w:r>
          <w:r>
            <w:rPr>
              <w:rFonts w:ascii="Times New Roman" w:hAnsi="Times New Roman" w:eastAsia="宋体" w:cs="Times New Roman"/>
              <w:szCs w:val="24"/>
            </w:rPr>
            <w:fldChar w:fldCharType="separate"/>
          </w:r>
          <w:r>
            <w:rPr>
              <w:rFonts w:hint="default"/>
              <w:bdr w:val="none" w:sz="0" w:space="0"/>
            </w:rPr>
            <w:t xml:space="preserve">1.5.3 </w:t>
          </w:r>
          <w:r>
            <w:t>设计难点</w:t>
          </w:r>
          <w:r>
            <w:tab/>
          </w:r>
          <w:r>
            <w:fldChar w:fldCharType="begin"/>
          </w:r>
          <w:r>
            <w:instrText xml:space="preserve"> PAGEREF _Toc28936 \h </w:instrText>
          </w:r>
          <w:r>
            <w:fldChar w:fldCharType="separate"/>
          </w:r>
          <w:r>
            <w:t>11</w:t>
          </w:r>
          <w:r>
            <w:fldChar w:fldCharType="end"/>
          </w:r>
          <w:r>
            <w:rPr>
              <w:rFonts w:ascii="Times New Roman" w:hAnsi="Times New Roman" w:eastAsia="宋体" w:cs="Times New Roman"/>
              <w:szCs w:val="24"/>
            </w:rPr>
            <w:fldChar w:fldCharType="end"/>
          </w:r>
        </w:p>
        <w:p w14:paraId="2FC3DD72">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_Toc10073 </w:instrText>
          </w:r>
          <w:r>
            <w:rPr>
              <w:rFonts w:ascii="Times New Roman" w:hAnsi="Times New Roman" w:eastAsia="宋体" w:cs="Times New Roman"/>
              <w:szCs w:val="24"/>
            </w:rPr>
            <w:fldChar w:fldCharType="separate"/>
          </w:r>
          <w:r>
            <w:rPr>
              <w:rFonts w:hint="eastAsia"/>
              <w:bdr w:val="none" w:sz="0" w:space="0"/>
            </w:rPr>
            <w:t xml:space="preserve">第二章 </w:t>
          </w:r>
          <w:r>
            <w:t>制动盘设计计算与SolidWorks建模</w:t>
          </w:r>
          <w:r>
            <w:tab/>
          </w:r>
          <w:r>
            <w:fldChar w:fldCharType="begin"/>
          </w:r>
          <w:r>
            <w:instrText xml:space="preserve"> PAGEREF _Toc10073 \h </w:instrText>
          </w:r>
          <w:r>
            <w:fldChar w:fldCharType="separate"/>
          </w:r>
          <w:r>
            <w:t>12</w:t>
          </w:r>
          <w:r>
            <w:fldChar w:fldCharType="end"/>
          </w:r>
          <w:r>
            <w:rPr>
              <w:rFonts w:ascii="Times New Roman" w:hAnsi="Times New Roman" w:eastAsia="宋体" w:cs="Times New Roman"/>
              <w:szCs w:val="24"/>
            </w:rPr>
            <w:fldChar w:fldCharType="end"/>
          </w:r>
        </w:p>
        <w:p w14:paraId="66FCA8AE">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_Toc18377 </w:instrText>
          </w:r>
          <w:r>
            <w:rPr>
              <w:rFonts w:ascii="Times New Roman" w:hAnsi="Times New Roman" w:eastAsia="宋体" w:cs="Times New Roman"/>
              <w:szCs w:val="24"/>
            </w:rPr>
            <w:fldChar w:fldCharType="separate"/>
          </w:r>
          <w:r>
            <w:rPr>
              <w:rFonts w:hint="default"/>
              <w:bdr w:val="none" w:sz="0" w:space="0"/>
            </w:rPr>
            <w:t xml:space="preserve">2.1 </w:t>
          </w:r>
          <w:r>
            <w:t>制动盘结构与参数设计</w:t>
          </w:r>
          <w:r>
            <w:tab/>
          </w:r>
          <w:r>
            <w:fldChar w:fldCharType="begin"/>
          </w:r>
          <w:r>
            <w:instrText xml:space="preserve"> PAGEREF _Toc18377 \h </w:instrText>
          </w:r>
          <w:r>
            <w:fldChar w:fldCharType="separate"/>
          </w:r>
          <w:r>
            <w:t>12</w:t>
          </w:r>
          <w:r>
            <w:fldChar w:fldCharType="end"/>
          </w:r>
          <w:r>
            <w:rPr>
              <w:rFonts w:ascii="Times New Roman" w:hAnsi="Times New Roman" w:eastAsia="宋体" w:cs="Times New Roman"/>
              <w:szCs w:val="24"/>
            </w:rPr>
            <w:fldChar w:fldCharType="end"/>
          </w:r>
        </w:p>
        <w:p w14:paraId="1EC038CD">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_Toc19974 </w:instrText>
          </w:r>
          <w:r>
            <w:rPr>
              <w:rFonts w:ascii="Times New Roman" w:hAnsi="Times New Roman" w:eastAsia="宋体" w:cs="Times New Roman"/>
              <w:szCs w:val="24"/>
            </w:rPr>
            <w:fldChar w:fldCharType="separate"/>
          </w:r>
          <w:r>
            <w:rPr>
              <w:rFonts w:hint="default"/>
              <w:bdr w:val="none" w:sz="0" w:space="0"/>
            </w:rPr>
            <w:t xml:space="preserve">2.1.1 </w:t>
          </w:r>
          <w:r>
            <w:t>车辆基本参数</w:t>
          </w:r>
          <w:r>
            <w:tab/>
          </w:r>
          <w:r>
            <w:fldChar w:fldCharType="begin"/>
          </w:r>
          <w:r>
            <w:instrText xml:space="preserve"> PAGEREF _Toc19974 \h </w:instrText>
          </w:r>
          <w:r>
            <w:fldChar w:fldCharType="separate"/>
          </w:r>
          <w:r>
            <w:t>12</w:t>
          </w:r>
          <w:r>
            <w:fldChar w:fldCharType="end"/>
          </w:r>
          <w:r>
            <w:rPr>
              <w:rFonts w:ascii="Times New Roman" w:hAnsi="Times New Roman" w:eastAsia="宋体" w:cs="Times New Roman"/>
              <w:szCs w:val="24"/>
            </w:rPr>
            <w:fldChar w:fldCharType="end"/>
          </w:r>
        </w:p>
        <w:p w14:paraId="105A36F3">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_Toc12180 </w:instrText>
          </w:r>
          <w:r>
            <w:rPr>
              <w:rFonts w:ascii="Times New Roman" w:hAnsi="Times New Roman" w:eastAsia="宋体" w:cs="Times New Roman"/>
              <w:szCs w:val="24"/>
            </w:rPr>
            <w:fldChar w:fldCharType="separate"/>
          </w:r>
          <w:r>
            <w:rPr>
              <w:rFonts w:hint="default"/>
              <w:bdr w:val="none" w:sz="0" w:space="0"/>
            </w:rPr>
            <w:t xml:space="preserve">2.1.2 </w:t>
          </w:r>
          <w:r>
            <w:t>制动力矩计算</w:t>
          </w:r>
          <w:r>
            <w:tab/>
          </w:r>
          <w:r>
            <w:fldChar w:fldCharType="begin"/>
          </w:r>
          <w:r>
            <w:instrText xml:space="preserve"> PAGEREF _Toc12180 \h </w:instrText>
          </w:r>
          <w:r>
            <w:fldChar w:fldCharType="separate"/>
          </w:r>
          <w:r>
            <w:t>12</w:t>
          </w:r>
          <w:r>
            <w:fldChar w:fldCharType="end"/>
          </w:r>
          <w:r>
            <w:rPr>
              <w:rFonts w:ascii="Times New Roman" w:hAnsi="Times New Roman" w:eastAsia="宋体" w:cs="Times New Roman"/>
              <w:szCs w:val="24"/>
            </w:rPr>
            <w:fldChar w:fldCharType="end"/>
          </w:r>
        </w:p>
        <w:p w14:paraId="4582D791">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_Toc27976 </w:instrText>
          </w:r>
          <w:r>
            <w:rPr>
              <w:rFonts w:ascii="Times New Roman" w:hAnsi="Times New Roman" w:eastAsia="宋体" w:cs="Times New Roman"/>
              <w:szCs w:val="24"/>
            </w:rPr>
            <w:fldChar w:fldCharType="separate"/>
          </w:r>
          <w:r>
            <w:rPr>
              <w:rFonts w:hint="default"/>
              <w:bdr w:val="none" w:sz="0" w:space="0"/>
            </w:rPr>
            <w:t xml:space="preserve">2.1.3 </w:t>
          </w:r>
          <w:r>
            <w:t>制动盘主要尺寸确定</w:t>
          </w:r>
          <w:r>
            <w:tab/>
          </w:r>
          <w:r>
            <w:fldChar w:fldCharType="begin"/>
          </w:r>
          <w:r>
            <w:instrText xml:space="preserve"> PAGEREF _Toc27976 \h </w:instrText>
          </w:r>
          <w:r>
            <w:fldChar w:fldCharType="separate"/>
          </w:r>
          <w:r>
            <w:t>13</w:t>
          </w:r>
          <w:r>
            <w:fldChar w:fldCharType="end"/>
          </w:r>
          <w:r>
            <w:rPr>
              <w:rFonts w:ascii="Times New Roman" w:hAnsi="Times New Roman" w:eastAsia="宋体" w:cs="Times New Roman"/>
              <w:szCs w:val="24"/>
            </w:rPr>
            <w:fldChar w:fldCharType="end"/>
          </w:r>
        </w:p>
        <w:p w14:paraId="6E01BD84">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_Toc3970 </w:instrText>
          </w:r>
          <w:r>
            <w:rPr>
              <w:rFonts w:ascii="Times New Roman" w:hAnsi="Times New Roman" w:eastAsia="宋体" w:cs="Times New Roman"/>
              <w:szCs w:val="24"/>
            </w:rPr>
            <w:fldChar w:fldCharType="separate"/>
          </w:r>
          <w:r>
            <w:rPr>
              <w:rFonts w:hint="default"/>
              <w:bdr w:val="none" w:sz="0" w:space="0"/>
            </w:rPr>
            <w:t xml:space="preserve">2.2 </w:t>
          </w:r>
          <w:r>
            <w:t>基于SolidWorks的三维建模</w:t>
          </w:r>
          <w:r>
            <w:tab/>
          </w:r>
          <w:r>
            <w:fldChar w:fldCharType="begin"/>
          </w:r>
          <w:r>
            <w:instrText xml:space="preserve"> PAGEREF _Toc3970 \h </w:instrText>
          </w:r>
          <w:r>
            <w:fldChar w:fldCharType="separate"/>
          </w:r>
          <w:r>
            <w:t>14</w:t>
          </w:r>
          <w:r>
            <w:fldChar w:fldCharType="end"/>
          </w:r>
          <w:r>
            <w:rPr>
              <w:rFonts w:ascii="Times New Roman" w:hAnsi="Times New Roman" w:eastAsia="宋体" w:cs="Times New Roman"/>
              <w:szCs w:val="24"/>
            </w:rPr>
            <w:fldChar w:fldCharType="end"/>
          </w:r>
        </w:p>
        <w:p w14:paraId="255577F8">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_Toc20353 </w:instrText>
          </w:r>
          <w:r>
            <w:rPr>
              <w:rFonts w:ascii="Times New Roman" w:hAnsi="Times New Roman" w:eastAsia="宋体" w:cs="Times New Roman"/>
              <w:szCs w:val="24"/>
            </w:rPr>
            <w:fldChar w:fldCharType="separate"/>
          </w:r>
          <w:r>
            <w:t>本章小结</w:t>
          </w:r>
          <w:r>
            <w:tab/>
          </w:r>
          <w:r>
            <w:fldChar w:fldCharType="begin"/>
          </w:r>
          <w:r>
            <w:instrText xml:space="preserve"> PAGEREF _Toc20353 \h </w:instrText>
          </w:r>
          <w:r>
            <w:fldChar w:fldCharType="separate"/>
          </w:r>
          <w:r>
            <w:t>15</w:t>
          </w:r>
          <w:r>
            <w:fldChar w:fldCharType="end"/>
          </w:r>
          <w:r>
            <w:rPr>
              <w:rFonts w:ascii="Times New Roman" w:hAnsi="Times New Roman" w:eastAsia="宋体" w:cs="Times New Roman"/>
              <w:szCs w:val="24"/>
            </w:rPr>
            <w:fldChar w:fldCharType="end"/>
          </w:r>
        </w:p>
        <w:p w14:paraId="52738AF8">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_Toc12654 </w:instrText>
          </w:r>
          <w:r>
            <w:rPr>
              <w:rFonts w:ascii="Times New Roman" w:hAnsi="Times New Roman" w:eastAsia="宋体" w:cs="Times New Roman"/>
              <w:szCs w:val="24"/>
            </w:rPr>
            <w:fldChar w:fldCharType="separate"/>
          </w:r>
          <w:r>
            <w:rPr>
              <w:rFonts w:hint="eastAsia"/>
              <w:bdr w:val="none" w:sz="0" w:space="0"/>
            </w:rPr>
            <w:t xml:space="preserve">第三章 </w:t>
          </w:r>
          <w:r>
            <w:t>优化前制动盘有限元分析</w:t>
          </w:r>
          <w:r>
            <w:tab/>
          </w:r>
          <w:r>
            <w:fldChar w:fldCharType="begin"/>
          </w:r>
          <w:r>
            <w:instrText xml:space="preserve"> PAGEREF _Toc12654 \h </w:instrText>
          </w:r>
          <w:r>
            <w:fldChar w:fldCharType="separate"/>
          </w:r>
          <w:r>
            <w:t>15</w:t>
          </w:r>
          <w:r>
            <w:fldChar w:fldCharType="end"/>
          </w:r>
          <w:r>
            <w:rPr>
              <w:rFonts w:ascii="Times New Roman" w:hAnsi="Times New Roman" w:eastAsia="宋体" w:cs="Times New Roman"/>
              <w:szCs w:val="24"/>
            </w:rPr>
            <w:fldChar w:fldCharType="end"/>
          </w:r>
        </w:p>
        <w:p w14:paraId="12C36C54">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_Toc9242 </w:instrText>
          </w:r>
          <w:r>
            <w:rPr>
              <w:rFonts w:ascii="Times New Roman" w:hAnsi="Times New Roman" w:eastAsia="宋体" w:cs="Times New Roman"/>
              <w:szCs w:val="24"/>
            </w:rPr>
            <w:fldChar w:fldCharType="separate"/>
          </w:r>
          <w:r>
            <w:rPr>
              <w:rFonts w:hint="default"/>
              <w:bdr w:val="none" w:sz="0" w:space="0"/>
            </w:rPr>
            <w:t xml:space="preserve">3.1 </w:t>
          </w:r>
          <w:r>
            <w:t>有限元模型的建立与网格划分</w:t>
          </w:r>
          <w:r>
            <w:tab/>
          </w:r>
          <w:r>
            <w:fldChar w:fldCharType="begin"/>
          </w:r>
          <w:r>
            <w:instrText xml:space="preserve"> PAGEREF _Toc9242 \h </w:instrText>
          </w:r>
          <w:r>
            <w:fldChar w:fldCharType="separate"/>
          </w:r>
          <w:r>
            <w:t>15</w:t>
          </w:r>
          <w:r>
            <w:fldChar w:fldCharType="end"/>
          </w:r>
          <w:r>
            <w:rPr>
              <w:rFonts w:ascii="Times New Roman" w:hAnsi="Times New Roman" w:eastAsia="宋体" w:cs="Times New Roman"/>
              <w:szCs w:val="24"/>
            </w:rPr>
            <w:fldChar w:fldCharType="end"/>
          </w:r>
        </w:p>
        <w:p w14:paraId="7BF68B5E">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_Toc18478 </w:instrText>
          </w:r>
          <w:r>
            <w:rPr>
              <w:rFonts w:ascii="Times New Roman" w:hAnsi="Times New Roman" w:eastAsia="宋体" w:cs="Times New Roman"/>
              <w:szCs w:val="24"/>
            </w:rPr>
            <w:fldChar w:fldCharType="separate"/>
          </w:r>
          <w:r>
            <w:rPr>
              <w:rFonts w:hint="default"/>
              <w:bdr w:val="none" w:sz="0" w:space="0"/>
            </w:rPr>
            <w:t xml:space="preserve">3.2 </w:t>
          </w:r>
          <w:r>
            <w:t>边界条件与载荷施加</w:t>
          </w:r>
          <w:r>
            <w:tab/>
          </w:r>
          <w:r>
            <w:fldChar w:fldCharType="begin"/>
          </w:r>
          <w:r>
            <w:instrText xml:space="preserve"> PAGEREF _Toc18478 \h </w:instrText>
          </w:r>
          <w:r>
            <w:fldChar w:fldCharType="separate"/>
          </w:r>
          <w:r>
            <w:t>16</w:t>
          </w:r>
          <w:r>
            <w:fldChar w:fldCharType="end"/>
          </w:r>
          <w:r>
            <w:rPr>
              <w:rFonts w:ascii="Times New Roman" w:hAnsi="Times New Roman" w:eastAsia="宋体" w:cs="Times New Roman"/>
              <w:szCs w:val="24"/>
            </w:rPr>
            <w:fldChar w:fldCharType="end"/>
          </w:r>
        </w:p>
        <w:p w14:paraId="1438C338">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_Toc22361 </w:instrText>
          </w:r>
          <w:r>
            <w:rPr>
              <w:rFonts w:ascii="Times New Roman" w:hAnsi="Times New Roman" w:eastAsia="宋体" w:cs="Times New Roman"/>
              <w:szCs w:val="24"/>
            </w:rPr>
            <w:fldChar w:fldCharType="separate"/>
          </w:r>
          <w:r>
            <w:rPr>
              <w:rFonts w:hint="default"/>
              <w:bdr w:val="none" w:sz="0" w:space="0"/>
            </w:rPr>
            <w:t xml:space="preserve">3.3 </w:t>
          </w:r>
          <w:r>
            <w:t>静力学分析结果与评价</w:t>
          </w:r>
          <w:r>
            <w:tab/>
          </w:r>
          <w:r>
            <w:fldChar w:fldCharType="begin"/>
          </w:r>
          <w:r>
            <w:instrText xml:space="preserve"> PAGEREF _Toc22361 \h </w:instrText>
          </w:r>
          <w:r>
            <w:fldChar w:fldCharType="separate"/>
          </w:r>
          <w:r>
            <w:t>17</w:t>
          </w:r>
          <w:r>
            <w:fldChar w:fldCharType="end"/>
          </w:r>
          <w:r>
            <w:rPr>
              <w:rFonts w:ascii="Times New Roman" w:hAnsi="Times New Roman" w:eastAsia="宋体" w:cs="Times New Roman"/>
              <w:szCs w:val="24"/>
            </w:rPr>
            <w:fldChar w:fldCharType="end"/>
          </w:r>
        </w:p>
        <w:p w14:paraId="27D1194F">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_Toc10387 </w:instrText>
          </w:r>
          <w:r>
            <w:rPr>
              <w:rFonts w:ascii="Times New Roman" w:hAnsi="Times New Roman" w:eastAsia="宋体" w:cs="Times New Roman"/>
              <w:szCs w:val="24"/>
            </w:rPr>
            <w:fldChar w:fldCharType="separate"/>
          </w:r>
          <w:r>
            <w:rPr>
              <w:rFonts w:hint="default"/>
              <w:bdr w:val="none" w:sz="0" w:space="0"/>
            </w:rPr>
            <w:t xml:space="preserve">3.3.1 </w:t>
          </w:r>
          <w:r>
            <w:t>总变形分析</w:t>
          </w:r>
          <w:r>
            <w:tab/>
          </w:r>
          <w:r>
            <w:fldChar w:fldCharType="begin"/>
          </w:r>
          <w:r>
            <w:instrText xml:space="preserve"> PAGEREF _Toc10387 \h </w:instrText>
          </w:r>
          <w:r>
            <w:fldChar w:fldCharType="separate"/>
          </w:r>
          <w:r>
            <w:t>18</w:t>
          </w:r>
          <w:r>
            <w:fldChar w:fldCharType="end"/>
          </w:r>
          <w:r>
            <w:rPr>
              <w:rFonts w:ascii="Times New Roman" w:hAnsi="Times New Roman" w:eastAsia="宋体" w:cs="Times New Roman"/>
              <w:szCs w:val="24"/>
            </w:rPr>
            <w:fldChar w:fldCharType="end"/>
          </w:r>
        </w:p>
        <w:p w14:paraId="157BA2BE">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_Toc9703 </w:instrText>
          </w:r>
          <w:r>
            <w:rPr>
              <w:rFonts w:ascii="Times New Roman" w:hAnsi="Times New Roman" w:eastAsia="宋体" w:cs="Times New Roman"/>
              <w:szCs w:val="24"/>
            </w:rPr>
            <w:fldChar w:fldCharType="separate"/>
          </w:r>
          <w:r>
            <w:rPr>
              <w:rFonts w:hint="default"/>
              <w:bdr w:val="none" w:sz="0" w:space="0"/>
            </w:rPr>
            <w:t xml:space="preserve">3.3.2 </w:t>
          </w:r>
          <w:r>
            <w:t>等效弹性应变分析</w:t>
          </w:r>
          <w:r>
            <w:tab/>
          </w:r>
          <w:r>
            <w:fldChar w:fldCharType="begin"/>
          </w:r>
          <w:r>
            <w:instrText xml:space="preserve"> PAGEREF _Toc9703 \h </w:instrText>
          </w:r>
          <w:r>
            <w:fldChar w:fldCharType="separate"/>
          </w:r>
          <w:r>
            <w:t>19</w:t>
          </w:r>
          <w:r>
            <w:fldChar w:fldCharType="end"/>
          </w:r>
          <w:r>
            <w:rPr>
              <w:rFonts w:ascii="Times New Roman" w:hAnsi="Times New Roman" w:eastAsia="宋体" w:cs="Times New Roman"/>
              <w:szCs w:val="24"/>
            </w:rPr>
            <w:fldChar w:fldCharType="end"/>
          </w:r>
        </w:p>
        <w:p w14:paraId="70A3CCD0">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_Toc21328 </w:instrText>
          </w:r>
          <w:r>
            <w:rPr>
              <w:rFonts w:ascii="Times New Roman" w:hAnsi="Times New Roman" w:eastAsia="宋体" w:cs="Times New Roman"/>
              <w:szCs w:val="24"/>
            </w:rPr>
            <w:fldChar w:fldCharType="separate"/>
          </w:r>
          <w:r>
            <w:rPr>
              <w:rFonts w:hint="default"/>
              <w:bdr w:val="none" w:sz="0" w:space="0"/>
            </w:rPr>
            <w:t xml:space="preserve">3.3.3 </w:t>
          </w:r>
          <w:r>
            <w:t>等效Von-Mises应力分析</w:t>
          </w:r>
          <w:r>
            <w:tab/>
          </w:r>
          <w:r>
            <w:fldChar w:fldCharType="begin"/>
          </w:r>
          <w:r>
            <w:instrText xml:space="preserve"> PAGEREF _Toc21328 \h </w:instrText>
          </w:r>
          <w:r>
            <w:fldChar w:fldCharType="separate"/>
          </w:r>
          <w:r>
            <w:t>19</w:t>
          </w:r>
          <w:r>
            <w:fldChar w:fldCharType="end"/>
          </w:r>
          <w:r>
            <w:rPr>
              <w:rFonts w:ascii="Times New Roman" w:hAnsi="Times New Roman" w:eastAsia="宋体" w:cs="Times New Roman"/>
              <w:szCs w:val="24"/>
            </w:rPr>
            <w:fldChar w:fldCharType="end"/>
          </w:r>
        </w:p>
        <w:p w14:paraId="0706AA66">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_Toc12692 </w:instrText>
          </w:r>
          <w:r>
            <w:rPr>
              <w:rFonts w:ascii="Times New Roman" w:hAnsi="Times New Roman" w:eastAsia="宋体" w:cs="Times New Roman"/>
              <w:szCs w:val="24"/>
            </w:rPr>
            <w:fldChar w:fldCharType="separate"/>
          </w:r>
          <w:r>
            <w:rPr>
              <w:rFonts w:hint="default"/>
              <w:bdr w:val="none" w:sz="0" w:space="0"/>
            </w:rPr>
            <w:t xml:space="preserve">3.4 </w:t>
          </w:r>
          <w:r>
            <w:t>模态分析</w:t>
          </w:r>
          <w:r>
            <w:tab/>
          </w:r>
          <w:r>
            <w:fldChar w:fldCharType="begin"/>
          </w:r>
          <w:r>
            <w:instrText xml:space="preserve"> PAGEREF _Toc12692 \h </w:instrText>
          </w:r>
          <w:r>
            <w:fldChar w:fldCharType="separate"/>
          </w:r>
          <w:r>
            <w:t>21</w:t>
          </w:r>
          <w:r>
            <w:fldChar w:fldCharType="end"/>
          </w:r>
          <w:r>
            <w:rPr>
              <w:rFonts w:ascii="Times New Roman" w:hAnsi="Times New Roman" w:eastAsia="宋体" w:cs="Times New Roman"/>
              <w:szCs w:val="24"/>
            </w:rPr>
            <w:fldChar w:fldCharType="end"/>
          </w:r>
        </w:p>
        <w:p w14:paraId="3BC44B38">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_Toc7997 </w:instrText>
          </w:r>
          <w:r>
            <w:rPr>
              <w:rFonts w:ascii="Times New Roman" w:hAnsi="Times New Roman" w:eastAsia="宋体" w:cs="Times New Roman"/>
              <w:szCs w:val="24"/>
            </w:rPr>
            <w:fldChar w:fldCharType="separate"/>
          </w:r>
          <w:r>
            <w:t>本章小结</w:t>
          </w:r>
          <w:r>
            <w:tab/>
          </w:r>
          <w:r>
            <w:fldChar w:fldCharType="begin"/>
          </w:r>
          <w:r>
            <w:instrText xml:space="preserve"> PAGEREF _Toc7997 \h </w:instrText>
          </w:r>
          <w:r>
            <w:fldChar w:fldCharType="separate"/>
          </w:r>
          <w:r>
            <w:t>23</w:t>
          </w:r>
          <w:r>
            <w:fldChar w:fldCharType="end"/>
          </w:r>
          <w:r>
            <w:rPr>
              <w:rFonts w:ascii="Times New Roman" w:hAnsi="Times New Roman" w:eastAsia="宋体" w:cs="Times New Roman"/>
              <w:szCs w:val="24"/>
            </w:rPr>
            <w:fldChar w:fldCharType="end"/>
          </w:r>
        </w:p>
        <w:p w14:paraId="4A7D1D0D">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_Toc18707 </w:instrText>
          </w:r>
          <w:r>
            <w:rPr>
              <w:rFonts w:ascii="Times New Roman" w:hAnsi="Times New Roman" w:eastAsia="宋体" w:cs="Times New Roman"/>
              <w:szCs w:val="24"/>
            </w:rPr>
            <w:fldChar w:fldCharType="separate"/>
          </w:r>
          <w:r>
            <w:rPr>
              <w:rFonts w:hint="eastAsia"/>
              <w:bdr w:val="none" w:sz="0" w:space="0"/>
            </w:rPr>
            <w:t xml:space="preserve">第四章 </w:t>
          </w:r>
          <w:r>
            <w:t>基于ANSYS的制动盘拓扑优化设计</w:t>
          </w:r>
          <w:r>
            <w:tab/>
          </w:r>
          <w:r>
            <w:fldChar w:fldCharType="begin"/>
          </w:r>
          <w:r>
            <w:instrText xml:space="preserve"> PAGEREF _Toc18707 \h </w:instrText>
          </w:r>
          <w:r>
            <w:fldChar w:fldCharType="separate"/>
          </w:r>
          <w:r>
            <w:t>23</w:t>
          </w:r>
          <w:r>
            <w:fldChar w:fldCharType="end"/>
          </w:r>
          <w:r>
            <w:rPr>
              <w:rFonts w:ascii="Times New Roman" w:hAnsi="Times New Roman" w:eastAsia="宋体" w:cs="Times New Roman"/>
              <w:szCs w:val="24"/>
            </w:rPr>
            <w:fldChar w:fldCharType="end"/>
          </w:r>
        </w:p>
        <w:p w14:paraId="38220EB0">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_Toc3730 </w:instrText>
          </w:r>
          <w:r>
            <w:rPr>
              <w:rFonts w:ascii="Times New Roman" w:hAnsi="Times New Roman" w:eastAsia="宋体" w:cs="Times New Roman"/>
              <w:szCs w:val="24"/>
            </w:rPr>
            <w:fldChar w:fldCharType="separate"/>
          </w:r>
          <w:r>
            <w:rPr>
              <w:rFonts w:hint="default"/>
              <w:bdr w:val="none" w:sz="0" w:space="0"/>
            </w:rPr>
            <w:t xml:space="preserve">4.1 </w:t>
          </w:r>
          <w:r>
            <w:t>拓扑优化理论基础</w:t>
          </w:r>
          <w:r>
            <w:tab/>
          </w:r>
          <w:r>
            <w:fldChar w:fldCharType="begin"/>
          </w:r>
          <w:r>
            <w:instrText xml:space="preserve"> PAGEREF _Toc3730 \h </w:instrText>
          </w:r>
          <w:r>
            <w:fldChar w:fldCharType="separate"/>
          </w:r>
          <w:r>
            <w:t>23</w:t>
          </w:r>
          <w:r>
            <w:fldChar w:fldCharType="end"/>
          </w:r>
          <w:r>
            <w:rPr>
              <w:rFonts w:ascii="Times New Roman" w:hAnsi="Times New Roman" w:eastAsia="宋体" w:cs="Times New Roman"/>
              <w:szCs w:val="24"/>
            </w:rPr>
            <w:fldChar w:fldCharType="end"/>
          </w:r>
        </w:p>
        <w:p w14:paraId="08B1921B">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_Toc25285 </w:instrText>
          </w:r>
          <w:r>
            <w:rPr>
              <w:rFonts w:ascii="Times New Roman" w:hAnsi="Times New Roman" w:eastAsia="宋体" w:cs="Times New Roman"/>
              <w:szCs w:val="24"/>
            </w:rPr>
            <w:fldChar w:fldCharType="separate"/>
          </w:r>
          <w:r>
            <w:rPr>
              <w:rFonts w:hint="default"/>
              <w:bdr w:val="none" w:sz="0" w:space="0"/>
            </w:rPr>
            <w:t xml:space="preserve">4.2 </w:t>
          </w:r>
          <w:r>
            <w:t>拓扑优化设置与求解</w:t>
          </w:r>
          <w:r>
            <w:tab/>
          </w:r>
          <w:r>
            <w:fldChar w:fldCharType="begin"/>
          </w:r>
          <w:r>
            <w:instrText xml:space="preserve"> PAGEREF _Toc25285 \h </w:instrText>
          </w:r>
          <w:r>
            <w:fldChar w:fldCharType="separate"/>
          </w:r>
          <w:r>
            <w:t>24</w:t>
          </w:r>
          <w:r>
            <w:fldChar w:fldCharType="end"/>
          </w:r>
          <w:r>
            <w:rPr>
              <w:rFonts w:ascii="Times New Roman" w:hAnsi="Times New Roman" w:eastAsia="宋体" w:cs="Times New Roman"/>
              <w:szCs w:val="24"/>
            </w:rPr>
            <w:fldChar w:fldCharType="end"/>
          </w:r>
        </w:p>
        <w:p w14:paraId="79C3736A">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_Toc28424 </w:instrText>
          </w:r>
          <w:r>
            <w:rPr>
              <w:rFonts w:ascii="Times New Roman" w:hAnsi="Times New Roman" w:eastAsia="宋体" w:cs="Times New Roman"/>
              <w:szCs w:val="24"/>
            </w:rPr>
            <w:fldChar w:fldCharType="separate"/>
          </w:r>
          <w:r>
            <w:rPr>
              <w:rFonts w:hint="default"/>
              <w:bdr w:val="none" w:sz="0" w:space="0"/>
            </w:rPr>
            <w:t xml:space="preserve">4.3 </w:t>
          </w:r>
          <w:r>
            <w:t>拓扑优化结果分析</w:t>
          </w:r>
          <w:r>
            <w:tab/>
          </w:r>
          <w:r>
            <w:fldChar w:fldCharType="begin"/>
          </w:r>
          <w:r>
            <w:instrText xml:space="preserve"> PAGEREF _Toc28424 \h </w:instrText>
          </w:r>
          <w:r>
            <w:fldChar w:fldCharType="separate"/>
          </w:r>
          <w:r>
            <w:t>27</w:t>
          </w:r>
          <w:r>
            <w:fldChar w:fldCharType="end"/>
          </w:r>
          <w:r>
            <w:rPr>
              <w:rFonts w:ascii="Times New Roman" w:hAnsi="Times New Roman" w:eastAsia="宋体" w:cs="Times New Roman"/>
              <w:szCs w:val="24"/>
            </w:rPr>
            <w:fldChar w:fldCharType="end"/>
          </w:r>
        </w:p>
        <w:p w14:paraId="60A3F6C5">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_Toc2778 </w:instrText>
          </w:r>
          <w:r>
            <w:rPr>
              <w:rFonts w:ascii="Times New Roman" w:hAnsi="Times New Roman" w:eastAsia="宋体" w:cs="Times New Roman"/>
              <w:szCs w:val="24"/>
            </w:rPr>
            <w:fldChar w:fldCharType="separate"/>
          </w:r>
          <w:r>
            <w:t>本章小结</w:t>
          </w:r>
          <w:r>
            <w:tab/>
          </w:r>
          <w:r>
            <w:fldChar w:fldCharType="begin"/>
          </w:r>
          <w:r>
            <w:instrText xml:space="preserve"> PAGEREF _Toc2778 \h </w:instrText>
          </w:r>
          <w:r>
            <w:fldChar w:fldCharType="separate"/>
          </w:r>
          <w:r>
            <w:t>28</w:t>
          </w:r>
          <w:r>
            <w:fldChar w:fldCharType="end"/>
          </w:r>
          <w:r>
            <w:rPr>
              <w:rFonts w:ascii="Times New Roman" w:hAnsi="Times New Roman" w:eastAsia="宋体" w:cs="Times New Roman"/>
              <w:szCs w:val="24"/>
            </w:rPr>
            <w:fldChar w:fldCharType="end"/>
          </w:r>
        </w:p>
        <w:p w14:paraId="0D6AFC38">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_Toc9225 </w:instrText>
          </w:r>
          <w:r>
            <w:rPr>
              <w:rFonts w:ascii="Times New Roman" w:hAnsi="Times New Roman" w:eastAsia="宋体" w:cs="Times New Roman"/>
              <w:szCs w:val="24"/>
            </w:rPr>
            <w:fldChar w:fldCharType="separate"/>
          </w:r>
          <w:r>
            <w:rPr>
              <w:rFonts w:hint="eastAsia"/>
              <w:bdr w:val="none" w:sz="0" w:space="0"/>
            </w:rPr>
            <w:t xml:space="preserve">第五章 </w:t>
          </w:r>
          <w:r>
            <w:t>优化后制动盘设计与仿真验证</w:t>
          </w:r>
          <w:r>
            <w:tab/>
          </w:r>
          <w:r>
            <w:fldChar w:fldCharType="begin"/>
          </w:r>
          <w:r>
            <w:instrText xml:space="preserve"> PAGEREF _Toc9225 \h </w:instrText>
          </w:r>
          <w:r>
            <w:fldChar w:fldCharType="separate"/>
          </w:r>
          <w:r>
            <w:t>28</w:t>
          </w:r>
          <w:r>
            <w:fldChar w:fldCharType="end"/>
          </w:r>
          <w:r>
            <w:rPr>
              <w:rFonts w:ascii="Times New Roman" w:hAnsi="Times New Roman" w:eastAsia="宋体" w:cs="Times New Roman"/>
              <w:szCs w:val="24"/>
            </w:rPr>
            <w:fldChar w:fldCharType="end"/>
          </w:r>
        </w:p>
        <w:p w14:paraId="4EBDC741">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_Toc18236 </w:instrText>
          </w:r>
          <w:r>
            <w:rPr>
              <w:rFonts w:ascii="Times New Roman" w:hAnsi="Times New Roman" w:eastAsia="宋体" w:cs="Times New Roman"/>
              <w:szCs w:val="24"/>
            </w:rPr>
            <w:fldChar w:fldCharType="separate"/>
          </w:r>
          <w:r>
            <w:rPr>
              <w:rFonts w:hint="default"/>
              <w:bdr w:val="none" w:sz="0" w:space="0"/>
            </w:rPr>
            <w:t xml:space="preserve">5.1 </w:t>
          </w:r>
          <w:r>
            <w:t>优化后制动盘三维重构</w:t>
          </w:r>
          <w:r>
            <w:tab/>
          </w:r>
          <w:r>
            <w:fldChar w:fldCharType="begin"/>
          </w:r>
          <w:r>
            <w:instrText xml:space="preserve"> PAGEREF _Toc18236 \h </w:instrText>
          </w:r>
          <w:r>
            <w:fldChar w:fldCharType="separate"/>
          </w:r>
          <w:r>
            <w:t>29</w:t>
          </w:r>
          <w:r>
            <w:fldChar w:fldCharType="end"/>
          </w:r>
          <w:r>
            <w:rPr>
              <w:rFonts w:ascii="Times New Roman" w:hAnsi="Times New Roman" w:eastAsia="宋体" w:cs="Times New Roman"/>
              <w:szCs w:val="24"/>
            </w:rPr>
            <w:fldChar w:fldCharType="end"/>
          </w:r>
        </w:p>
        <w:p w14:paraId="33DA488A">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_Toc13139 </w:instrText>
          </w:r>
          <w:r>
            <w:rPr>
              <w:rFonts w:ascii="Times New Roman" w:hAnsi="Times New Roman" w:eastAsia="宋体" w:cs="Times New Roman"/>
              <w:szCs w:val="24"/>
            </w:rPr>
            <w:fldChar w:fldCharType="separate"/>
          </w:r>
          <w:r>
            <w:rPr>
              <w:rFonts w:hint="default"/>
              <w:bdr w:val="none" w:sz="0" w:space="0"/>
            </w:rPr>
            <w:t xml:space="preserve">5.2 </w:t>
          </w:r>
          <w:r>
            <w:t>优化后制动盘有限元仿真</w:t>
          </w:r>
          <w:r>
            <w:tab/>
          </w:r>
          <w:r>
            <w:fldChar w:fldCharType="begin"/>
          </w:r>
          <w:r>
            <w:instrText xml:space="preserve"> PAGEREF _Toc13139 \h </w:instrText>
          </w:r>
          <w:r>
            <w:fldChar w:fldCharType="separate"/>
          </w:r>
          <w:r>
            <w:t>30</w:t>
          </w:r>
          <w:r>
            <w:fldChar w:fldCharType="end"/>
          </w:r>
          <w:r>
            <w:rPr>
              <w:rFonts w:ascii="Times New Roman" w:hAnsi="Times New Roman" w:eastAsia="宋体" w:cs="Times New Roman"/>
              <w:szCs w:val="24"/>
            </w:rPr>
            <w:fldChar w:fldCharType="end"/>
          </w:r>
        </w:p>
        <w:p w14:paraId="6E80EC0C">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_Toc18475 </w:instrText>
          </w:r>
          <w:r>
            <w:rPr>
              <w:rFonts w:ascii="Times New Roman" w:hAnsi="Times New Roman" w:eastAsia="宋体" w:cs="Times New Roman"/>
              <w:szCs w:val="24"/>
            </w:rPr>
            <w:fldChar w:fldCharType="separate"/>
          </w:r>
          <w:r>
            <w:rPr>
              <w:rFonts w:hint="default"/>
              <w:bdr w:val="none" w:sz="0" w:space="0"/>
            </w:rPr>
            <w:t xml:space="preserve">5.3 </w:t>
          </w:r>
          <w:r>
            <w:t>优化前后性能对比分析</w:t>
          </w:r>
          <w:r>
            <w:tab/>
          </w:r>
          <w:r>
            <w:fldChar w:fldCharType="begin"/>
          </w:r>
          <w:r>
            <w:instrText xml:space="preserve"> PAGEREF _Toc18475 \h </w:instrText>
          </w:r>
          <w:r>
            <w:fldChar w:fldCharType="separate"/>
          </w:r>
          <w:r>
            <w:t>33</w:t>
          </w:r>
          <w:r>
            <w:fldChar w:fldCharType="end"/>
          </w:r>
          <w:r>
            <w:rPr>
              <w:rFonts w:ascii="Times New Roman" w:hAnsi="Times New Roman" w:eastAsia="宋体" w:cs="Times New Roman"/>
              <w:szCs w:val="24"/>
            </w:rPr>
            <w:fldChar w:fldCharType="end"/>
          </w:r>
        </w:p>
        <w:p w14:paraId="71B26CB5">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_Toc12217 </w:instrText>
          </w:r>
          <w:r>
            <w:rPr>
              <w:rFonts w:ascii="Times New Roman" w:hAnsi="Times New Roman" w:eastAsia="宋体" w:cs="Times New Roman"/>
              <w:szCs w:val="24"/>
            </w:rPr>
            <w:fldChar w:fldCharType="separate"/>
          </w:r>
          <w:r>
            <w:rPr>
              <w:rFonts w:hint="default"/>
              <w:bdr w:val="none" w:sz="0" w:space="0"/>
            </w:rPr>
            <w:t xml:space="preserve">5.3.1 </w:t>
          </w:r>
          <w:r>
            <w:t>总变形对比</w:t>
          </w:r>
          <w:r>
            <w:tab/>
          </w:r>
          <w:r>
            <w:fldChar w:fldCharType="begin"/>
          </w:r>
          <w:r>
            <w:instrText xml:space="preserve"> PAGEREF _Toc12217 \h </w:instrText>
          </w:r>
          <w:r>
            <w:fldChar w:fldCharType="separate"/>
          </w:r>
          <w:r>
            <w:t>33</w:t>
          </w:r>
          <w:r>
            <w:fldChar w:fldCharType="end"/>
          </w:r>
          <w:r>
            <w:rPr>
              <w:rFonts w:ascii="Times New Roman" w:hAnsi="Times New Roman" w:eastAsia="宋体" w:cs="Times New Roman"/>
              <w:szCs w:val="24"/>
            </w:rPr>
            <w:fldChar w:fldCharType="end"/>
          </w:r>
        </w:p>
        <w:p w14:paraId="1573CE72">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_Toc12922 </w:instrText>
          </w:r>
          <w:r>
            <w:rPr>
              <w:rFonts w:ascii="Times New Roman" w:hAnsi="Times New Roman" w:eastAsia="宋体" w:cs="Times New Roman"/>
              <w:szCs w:val="24"/>
            </w:rPr>
            <w:fldChar w:fldCharType="separate"/>
          </w:r>
          <w:r>
            <w:rPr>
              <w:rFonts w:hint="default"/>
              <w:bdr w:val="none" w:sz="0" w:space="0"/>
            </w:rPr>
            <w:t xml:space="preserve">5.3.2 </w:t>
          </w:r>
          <w:r>
            <w:t>等效弹性应变对比</w:t>
          </w:r>
          <w:r>
            <w:tab/>
          </w:r>
          <w:r>
            <w:fldChar w:fldCharType="begin"/>
          </w:r>
          <w:r>
            <w:instrText xml:space="preserve"> PAGEREF _Toc12922 \h </w:instrText>
          </w:r>
          <w:r>
            <w:fldChar w:fldCharType="separate"/>
          </w:r>
          <w:r>
            <w:t>34</w:t>
          </w:r>
          <w:r>
            <w:fldChar w:fldCharType="end"/>
          </w:r>
          <w:r>
            <w:rPr>
              <w:rFonts w:ascii="Times New Roman" w:hAnsi="Times New Roman" w:eastAsia="宋体" w:cs="Times New Roman"/>
              <w:szCs w:val="24"/>
            </w:rPr>
            <w:fldChar w:fldCharType="end"/>
          </w:r>
        </w:p>
        <w:p w14:paraId="1AE127C3">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_Toc15081 </w:instrText>
          </w:r>
          <w:r>
            <w:rPr>
              <w:rFonts w:ascii="Times New Roman" w:hAnsi="Times New Roman" w:eastAsia="宋体" w:cs="Times New Roman"/>
              <w:szCs w:val="24"/>
            </w:rPr>
            <w:fldChar w:fldCharType="separate"/>
          </w:r>
          <w:r>
            <w:rPr>
              <w:rFonts w:hint="default"/>
              <w:bdr w:val="none" w:sz="0" w:space="0"/>
            </w:rPr>
            <w:t xml:space="preserve">5.3.3 </w:t>
          </w:r>
          <w:r>
            <w:t>等效Von-Mises应力对比</w:t>
          </w:r>
          <w:r>
            <w:tab/>
          </w:r>
          <w:r>
            <w:fldChar w:fldCharType="begin"/>
          </w:r>
          <w:r>
            <w:instrText xml:space="preserve"> PAGEREF _Toc15081 \h </w:instrText>
          </w:r>
          <w:r>
            <w:fldChar w:fldCharType="separate"/>
          </w:r>
          <w:r>
            <w:t>35</w:t>
          </w:r>
          <w:r>
            <w:fldChar w:fldCharType="end"/>
          </w:r>
          <w:r>
            <w:rPr>
              <w:rFonts w:ascii="Times New Roman" w:hAnsi="Times New Roman" w:eastAsia="宋体" w:cs="Times New Roman"/>
              <w:szCs w:val="24"/>
            </w:rPr>
            <w:fldChar w:fldCharType="end"/>
          </w:r>
        </w:p>
        <w:p w14:paraId="7FF0BB90">
          <w:pPr>
            <w:pStyle w:val="14"/>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_Toc30906 </w:instrText>
          </w:r>
          <w:r>
            <w:rPr>
              <w:rFonts w:ascii="Times New Roman" w:hAnsi="Times New Roman" w:eastAsia="宋体" w:cs="Times New Roman"/>
              <w:szCs w:val="24"/>
            </w:rPr>
            <w:fldChar w:fldCharType="separate"/>
          </w:r>
          <w:r>
            <w:rPr>
              <w:rFonts w:hint="default"/>
              <w:bdr w:val="none" w:sz="0" w:space="0"/>
            </w:rPr>
            <w:t xml:space="preserve">5.3.4 </w:t>
          </w:r>
          <w:r>
            <w:t>性能对比总结</w:t>
          </w:r>
          <w:r>
            <w:tab/>
          </w:r>
          <w:r>
            <w:fldChar w:fldCharType="begin"/>
          </w:r>
          <w:r>
            <w:instrText xml:space="preserve"> PAGEREF _Toc30906 \h </w:instrText>
          </w:r>
          <w:r>
            <w:fldChar w:fldCharType="separate"/>
          </w:r>
          <w:r>
            <w:t>36</w:t>
          </w:r>
          <w:r>
            <w:fldChar w:fldCharType="end"/>
          </w:r>
          <w:r>
            <w:rPr>
              <w:rFonts w:ascii="Times New Roman" w:hAnsi="Times New Roman" w:eastAsia="宋体" w:cs="Times New Roman"/>
              <w:szCs w:val="24"/>
            </w:rPr>
            <w:fldChar w:fldCharType="end"/>
          </w:r>
        </w:p>
        <w:p w14:paraId="2EE6B140">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_Toc24156 </w:instrText>
          </w:r>
          <w:r>
            <w:rPr>
              <w:rFonts w:ascii="Times New Roman" w:hAnsi="Times New Roman" w:eastAsia="宋体" w:cs="Times New Roman"/>
              <w:szCs w:val="24"/>
            </w:rPr>
            <w:fldChar w:fldCharType="separate"/>
          </w:r>
          <w:r>
            <w:t>本章小结</w:t>
          </w:r>
          <w:r>
            <w:tab/>
          </w:r>
          <w:r>
            <w:fldChar w:fldCharType="begin"/>
          </w:r>
          <w:r>
            <w:instrText xml:space="preserve"> PAGEREF _Toc24156 \h </w:instrText>
          </w:r>
          <w:r>
            <w:fldChar w:fldCharType="separate"/>
          </w:r>
          <w:r>
            <w:t>37</w:t>
          </w:r>
          <w:r>
            <w:fldChar w:fldCharType="end"/>
          </w:r>
          <w:r>
            <w:rPr>
              <w:rFonts w:ascii="Times New Roman" w:hAnsi="Times New Roman" w:eastAsia="宋体" w:cs="Times New Roman"/>
              <w:szCs w:val="24"/>
            </w:rPr>
            <w:fldChar w:fldCharType="end"/>
          </w:r>
        </w:p>
        <w:p w14:paraId="368B19A6">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_Toc8936 </w:instrText>
          </w:r>
          <w:r>
            <w:rPr>
              <w:rFonts w:ascii="Times New Roman" w:hAnsi="Times New Roman" w:eastAsia="宋体" w:cs="Times New Roman"/>
              <w:szCs w:val="24"/>
            </w:rPr>
            <w:fldChar w:fldCharType="separate"/>
          </w:r>
          <w:r>
            <w:rPr>
              <w:rFonts w:hint="eastAsia"/>
              <w:bdr w:val="none" w:sz="0" w:space="0"/>
            </w:rPr>
            <w:t xml:space="preserve">第六章 </w:t>
          </w:r>
          <w:r>
            <w:t>结论与展望</w:t>
          </w:r>
          <w:r>
            <w:tab/>
          </w:r>
          <w:r>
            <w:fldChar w:fldCharType="begin"/>
          </w:r>
          <w:r>
            <w:instrText xml:space="preserve"> PAGEREF _Toc8936 \h </w:instrText>
          </w:r>
          <w:r>
            <w:fldChar w:fldCharType="separate"/>
          </w:r>
          <w:r>
            <w:t>37</w:t>
          </w:r>
          <w:r>
            <w:fldChar w:fldCharType="end"/>
          </w:r>
          <w:r>
            <w:rPr>
              <w:rFonts w:ascii="Times New Roman" w:hAnsi="Times New Roman" w:eastAsia="宋体" w:cs="Times New Roman"/>
              <w:szCs w:val="24"/>
            </w:rPr>
            <w:fldChar w:fldCharType="end"/>
          </w:r>
        </w:p>
        <w:p w14:paraId="46D107B8">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_Toc15585 </w:instrText>
          </w:r>
          <w:r>
            <w:rPr>
              <w:rFonts w:ascii="Times New Roman" w:hAnsi="Times New Roman" w:eastAsia="宋体" w:cs="Times New Roman"/>
              <w:szCs w:val="24"/>
            </w:rPr>
            <w:fldChar w:fldCharType="separate"/>
          </w:r>
          <w:r>
            <w:rPr>
              <w:rFonts w:hint="default"/>
              <w:bdr w:val="none" w:sz="0" w:space="0"/>
            </w:rPr>
            <w:t xml:space="preserve">6.1 </w:t>
          </w:r>
          <w:r>
            <w:t>结论</w:t>
          </w:r>
          <w:r>
            <w:tab/>
          </w:r>
          <w:r>
            <w:fldChar w:fldCharType="begin"/>
          </w:r>
          <w:r>
            <w:instrText xml:space="preserve"> PAGEREF _Toc15585 \h </w:instrText>
          </w:r>
          <w:r>
            <w:fldChar w:fldCharType="separate"/>
          </w:r>
          <w:r>
            <w:t>37</w:t>
          </w:r>
          <w:r>
            <w:fldChar w:fldCharType="end"/>
          </w:r>
          <w:r>
            <w:rPr>
              <w:rFonts w:ascii="Times New Roman" w:hAnsi="Times New Roman" w:eastAsia="宋体" w:cs="Times New Roman"/>
              <w:szCs w:val="24"/>
            </w:rPr>
            <w:fldChar w:fldCharType="end"/>
          </w:r>
        </w:p>
        <w:p w14:paraId="462FA5EB">
          <w:pPr>
            <w:pStyle w:val="19"/>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_Toc8273 </w:instrText>
          </w:r>
          <w:r>
            <w:rPr>
              <w:rFonts w:ascii="Times New Roman" w:hAnsi="Times New Roman" w:eastAsia="宋体" w:cs="Times New Roman"/>
              <w:szCs w:val="24"/>
            </w:rPr>
            <w:fldChar w:fldCharType="separate"/>
          </w:r>
          <w:r>
            <w:rPr>
              <w:rFonts w:hint="default"/>
              <w:bdr w:val="none" w:sz="0" w:space="0"/>
            </w:rPr>
            <w:t xml:space="preserve">6.2 </w:t>
          </w:r>
          <w:r>
            <w:t>展望</w:t>
          </w:r>
          <w:r>
            <w:tab/>
          </w:r>
          <w:r>
            <w:fldChar w:fldCharType="begin"/>
          </w:r>
          <w:r>
            <w:instrText xml:space="preserve"> PAGEREF _Toc8273 \h </w:instrText>
          </w:r>
          <w:r>
            <w:fldChar w:fldCharType="separate"/>
          </w:r>
          <w:r>
            <w:t>38</w:t>
          </w:r>
          <w:r>
            <w:fldChar w:fldCharType="end"/>
          </w:r>
          <w:r>
            <w:rPr>
              <w:rFonts w:ascii="Times New Roman" w:hAnsi="Times New Roman" w:eastAsia="宋体" w:cs="Times New Roman"/>
              <w:szCs w:val="24"/>
            </w:rPr>
            <w:fldChar w:fldCharType="end"/>
          </w:r>
        </w:p>
        <w:p w14:paraId="79AB7FDE">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_Toc26975 </w:instrText>
          </w:r>
          <w:r>
            <w:rPr>
              <w:rFonts w:ascii="Times New Roman" w:hAnsi="Times New Roman" w:eastAsia="宋体" w:cs="Times New Roman"/>
              <w:szCs w:val="24"/>
            </w:rPr>
            <w:fldChar w:fldCharType="separate"/>
          </w:r>
          <w:r>
            <w:t>致谢</w:t>
          </w:r>
          <w:r>
            <w:tab/>
          </w:r>
          <w:r>
            <w:fldChar w:fldCharType="begin"/>
          </w:r>
          <w:r>
            <w:instrText xml:space="preserve"> PAGEREF _Toc26975 \h </w:instrText>
          </w:r>
          <w:r>
            <w:fldChar w:fldCharType="separate"/>
          </w:r>
          <w:r>
            <w:t>38</w:t>
          </w:r>
          <w:r>
            <w:fldChar w:fldCharType="end"/>
          </w:r>
          <w:r>
            <w:rPr>
              <w:rFonts w:ascii="Times New Roman" w:hAnsi="Times New Roman" w:eastAsia="宋体" w:cs="Times New Roman"/>
              <w:szCs w:val="24"/>
            </w:rPr>
            <w:fldChar w:fldCharType="end"/>
          </w:r>
        </w:p>
        <w:p w14:paraId="39DC5C7E">
          <w:pPr>
            <w:pStyle w:val="16"/>
            <w:tabs>
              <w:tab w:val="right" w:leader="dot" w:pos="8640"/>
            </w:tabs>
          </w:pPr>
          <w:r>
            <w:rPr>
              <w:rFonts w:ascii="Times New Roman" w:hAnsi="Times New Roman" w:eastAsia="宋体" w:cs="Times New Roman"/>
              <w:szCs w:val="24"/>
            </w:rPr>
            <w:fldChar w:fldCharType="begin"/>
          </w:r>
          <w:r>
            <w:rPr>
              <w:rFonts w:ascii="Times New Roman" w:hAnsi="Times New Roman" w:eastAsia="宋体" w:cs="Times New Roman"/>
              <w:szCs w:val="24"/>
            </w:rPr>
            <w:instrText xml:space="preserve"> HYPERLINK \l _Toc24008 </w:instrText>
          </w:r>
          <w:r>
            <w:rPr>
              <w:rFonts w:ascii="Times New Roman" w:hAnsi="Times New Roman" w:eastAsia="宋体" w:cs="Times New Roman"/>
              <w:szCs w:val="24"/>
            </w:rPr>
            <w:fldChar w:fldCharType="separate"/>
          </w:r>
          <w:r>
            <w:t>参考文献</w:t>
          </w:r>
          <w:r>
            <w:tab/>
          </w:r>
          <w:r>
            <w:fldChar w:fldCharType="begin"/>
          </w:r>
          <w:r>
            <w:instrText xml:space="preserve"> PAGEREF _Toc24008 \h </w:instrText>
          </w:r>
          <w:r>
            <w:fldChar w:fldCharType="separate"/>
          </w:r>
          <w:r>
            <w:t>39</w:t>
          </w:r>
          <w:r>
            <w:fldChar w:fldCharType="end"/>
          </w:r>
          <w:r>
            <w:rPr>
              <w:rFonts w:ascii="Times New Roman" w:hAnsi="Times New Roman" w:eastAsia="宋体" w:cs="Times New Roman"/>
              <w:szCs w:val="24"/>
            </w:rPr>
            <w:fldChar w:fldCharType="end"/>
          </w:r>
        </w:p>
        <w:p w14:paraId="590FDB32">
          <w:pPr>
            <w:pStyle w:val="3"/>
            <w:ind w:left="0" w:leftChars="0"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szCs w:val="24"/>
            </w:rPr>
            <w:fldChar w:fldCharType="end"/>
          </w:r>
        </w:p>
      </w:sdtContent>
    </w:sdt>
    <w:p w14:paraId="09A1D0D4">
      <w:pPr>
        <w:pStyle w:val="3"/>
        <w:ind w:left="0" w:leftChars="0"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kern w:val="2"/>
          <w:sz w:val="24"/>
          <w:szCs w:val="24"/>
          <w:lang w:bidi="ar-SA"/>
        </w:rPr>
        <w:br w:type="page"/>
      </w:r>
    </w:p>
    <w:bookmarkEnd w:id="3"/>
    <w:p w14:paraId="2959E957">
      <w:pPr>
        <w:pStyle w:val="2"/>
        <w:numPr>
          <w:ilvl w:val="0"/>
          <w:numId w:val="1"/>
        </w:numPr>
        <w:ind w:left="0" w:leftChars="0" w:firstLine="0" w:firstLineChars="0"/>
        <w:rPr>
          <w:b w:val="0"/>
          <w:bdr w:val="none" w:sz="0" w:space="0"/>
        </w:rPr>
      </w:pPr>
      <w:bookmarkStart w:id="4" w:name="_Toc31465"/>
      <w:bookmarkStart w:id="5" w:name="第一章-绪论"/>
      <w:r>
        <w:t>绪论</w:t>
      </w:r>
      <w:bookmarkEnd w:id="4"/>
    </w:p>
    <w:p w14:paraId="778AA468">
      <w:pPr>
        <w:pStyle w:val="4"/>
        <w:numPr>
          <w:ilvl w:val="0"/>
          <w:numId w:val="2"/>
        </w:numPr>
        <w:ind w:left="0" w:leftChars="0" w:firstLine="0" w:firstLineChars="0"/>
        <w:rPr>
          <w:b w:val="0"/>
          <w:bdr w:val="none" w:sz="0" w:space="0"/>
        </w:rPr>
      </w:pPr>
      <w:bookmarkStart w:id="6" w:name="_Toc12110"/>
      <w:bookmarkStart w:id="7" w:name="设计目的"/>
      <w:r>
        <w:t>设计目的</w:t>
      </w:r>
      <w:bookmarkEnd w:id="6"/>
    </w:p>
    <w:p w14:paraId="45A3A668">
      <w:pPr>
        <w:pStyle w:val="3"/>
        <w:rPr>
          <w:rFonts w:ascii="Times New Roman" w:hAnsi="Times New Roman" w:eastAsia="宋体" w:cs="Times New Roman"/>
          <w:sz w:val="24"/>
          <w:szCs w:val="24"/>
        </w:rPr>
      </w:pPr>
      <w:r>
        <w:rPr>
          <w:rFonts w:ascii="Times New Roman" w:hAnsi="Times New Roman" w:eastAsia="宋体" w:cs="Times New Roman"/>
          <w:sz w:val="24"/>
          <w:szCs w:val="24"/>
        </w:rPr>
        <w:t>汽车制动系统是保障行车安全最关键的底盘子系统之一，其主要功能是使行驶中的汽车减速甚至停车、使下坡行驶的汽车保持速度稳定以及使已停驶的汽车保持不动。在众多类型的制动器中，盘式制动器因其散热性能好、制动效能稳定、抗水衰退能力强以及易于实现间隙自动调整等优点，被广泛应用于各类轻型轿车中。然而，在频繁制动或紧急制动工况下，制动盘与摩擦片之间会产生剧烈的摩擦，导致制动盘表面温度急剧升高，产生极大的热应力和热变形。如果热量不能及时散发，不仅会引起制动效能的热衰退，还可能导致制动盘出现热裂纹甚至断裂，严重威胁行车安全</w:t>
      </w:r>
      <w:r>
        <w:rPr>
          <w:rFonts w:ascii="Times New Roman" w:hAnsi="Times New Roman" w:eastAsia="宋体" w:cs="Times New Roman"/>
          <w:sz w:val="24"/>
          <w:szCs w:val="24"/>
          <w:vertAlign w:val="superscript"/>
        </w:rPr>
        <w:t>[1]</w:t>
      </w:r>
      <w:r>
        <w:rPr>
          <w:rFonts w:ascii="Times New Roman" w:hAnsi="Times New Roman" w:eastAsia="宋体" w:cs="Times New Roman"/>
          <w:sz w:val="24"/>
          <w:szCs w:val="24"/>
        </w:rPr>
        <w:t>。同时，在当前汽车轻量化和节能减排的大背景下，降低簧下质量成为提升车辆操控性和燃油经济性的重要途径。制动盘作为主要的簧下旋转部件，其质量的减轻对改善整车性能具有显著意义。因此，本设计的首要目的在于运用现代计算机辅助设计与分析技术，对某轻型轿车盘式制动器进行深入的理论分析与结构优化。通过SolidWorks建立高精度的三维参数化模型，并导入ANSYS Workbench进行静力学和模态分析，准确评估制动盘在极端工况下的应力、应变分布及振动特性。在此基础上，引入拓扑优化理论，在满足强度、刚度和模态要求的约束条件下，寻找制动盘材料的最佳分布方案，实现结构的轻量化。进一步结合散热需求，对制动盘进行打孔或开槽等结构改进，最终设计出一种既能满足苛刻制动要求，又具有较轻质量和优良散热性能的新型制动盘结构，为实际工程应用提供切实可行的优化方案</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p>
    <w:bookmarkEnd w:id="7"/>
    <w:p w14:paraId="30C1CB8F">
      <w:pPr>
        <w:pStyle w:val="4"/>
        <w:numPr>
          <w:ilvl w:val="0"/>
          <w:numId w:val="2"/>
        </w:numPr>
        <w:ind w:left="0" w:leftChars="0" w:firstLine="0" w:firstLineChars="0"/>
        <w:rPr>
          <w:b w:val="0"/>
          <w:bdr w:val="none" w:sz="0" w:space="0"/>
        </w:rPr>
      </w:pPr>
      <w:bookmarkStart w:id="8" w:name="_Toc25347"/>
      <w:bookmarkStart w:id="9" w:name="设计意义"/>
      <w:r>
        <w:t>设计意义</w:t>
      </w:r>
      <w:bookmarkEnd w:id="8"/>
    </w:p>
    <w:p w14:paraId="6ADE4EC9">
      <w:pPr>
        <w:pStyle w:val="3"/>
        <w:rPr>
          <w:rFonts w:ascii="Times New Roman" w:hAnsi="Times New Roman" w:eastAsia="宋体" w:cs="Times New Roman"/>
          <w:sz w:val="24"/>
          <w:szCs w:val="24"/>
        </w:rPr>
      </w:pPr>
      <w:r>
        <w:rPr>
          <w:rFonts w:ascii="Times New Roman" w:hAnsi="Times New Roman" w:eastAsia="宋体" w:cs="Times New Roman"/>
          <w:sz w:val="24"/>
          <w:szCs w:val="24"/>
        </w:rPr>
        <w:t>本课题的研究与设计工作不仅具有深厚的理论价值，更具备广泛的工程实际意义。在理论层面，传统的制动器设计往往依赖于经验公式和反复的物理试验，这种方法不仅研发周期长、成本高昂，而且难以实现结构的最优配置。将有限元分析（FEA）与拓扑优化技术相结合应用于制动盘的设计中，打破了传统设计方法的局限性，使得工程师能够在产品制造前在虚拟环境中对其性能进行精确预测。这丰富了机械结构优化设计的理论体系，为多物理场耦合条件下的复杂零部件设计提供了新的思路和方法</w:t>
      </w:r>
      <w:r>
        <w:rPr>
          <w:rFonts w:ascii="Times New Roman" w:hAnsi="Times New Roman" w:eastAsia="宋体" w:cs="Times New Roman"/>
          <w:sz w:val="24"/>
          <w:szCs w:val="24"/>
          <w:vertAlign w:val="superscript"/>
        </w:rPr>
        <w:t>[3]</w:t>
      </w:r>
      <w:r>
        <w:rPr>
          <w:rFonts w:ascii="Times New Roman" w:hAnsi="Times New Roman" w:eastAsia="宋体" w:cs="Times New Roman"/>
          <w:sz w:val="24"/>
          <w:szCs w:val="24"/>
        </w:rPr>
        <w:t>。在工程实践层面，轻型轿车盘式制动器的优化设计直接关系到车辆的综合性能。一方面，通过拓扑优化去除制动盘非承载区域的多余材料，有效降低了制动盘的质量。簧下质量的减轻能够显著提升悬架系统的响应速度，改善车辆的平顺性和操控稳定性，同时降低整车能耗，符合当前汽车工业绿色环保的发展趋势</w:t>
      </w:r>
      <w:r>
        <w:rPr>
          <w:rFonts w:ascii="Times New Roman" w:hAnsi="Times New Roman" w:eastAsia="宋体" w:cs="Times New Roman"/>
          <w:sz w:val="24"/>
          <w:szCs w:val="24"/>
          <w:vertAlign w:val="superscript"/>
        </w:rPr>
        <w:t>[4]</w:t>
      </w:r>
      <w:r>
        <w:rPr>
          <w:rFonts w:ascii="Times New Roman" w:hAnsi="Times New Roman" w:eastAsia="宋体" w:cs="Times New Roman"/>
          <w:sz w:val="24"/>
          <w:szCs w:val="24"/>
        </w:rPr>
        <w:t>。另一方面，针对制动盘进行的结构改进（如增加通风孔），极大地改善了制动器的散热条件，降低了最高工作温度和热应力水平。这不仅有效防止了制动热衰退现象的发生，提高了紧急制动和连续制动工况下的安全可靠性，还延长了制动盘和摩擦片的使用寿命，降低了车辆的维护成本</w:t>
      </w:r>
      <w:r>
        <w:rPr>
          <w:rFonts w:ascii="Times New Roman" w:hAnsi="Times New Roman" w:eastAsia="宋体" w:cs="Times New Roman"/>
          <w:sz w:val="24"/>
          <w:szCs w:val="24"/>
          <w:vertAlign w:val="superscript"/>
        </w:rPr>
        <w:t>[5]</w:t>
      </w:r>
      <w:r>
        <w:rPr>
          <w:rFonts w:ascii="Times New Roman" w:hAnsi="Times New Roman" w:eastAsia="宋体" w:cs="Times New Roman"/>
          <w:sz w:val="24"/>
          <w:szCs w:val="24"/>
        </w:rPr>
        <w:t>。此外，通过模态分析规避制动系统可能发生的共振频率，有助于减少制动尖叫等高频噪声的产生，提升了驾乘的舒适性。综上所述，本设计成果能够为国内汽车零部件制造企业在制动系统的自主研发和技术升级方面提供有价值的参考，助力提升汽车工业的整体技术水平和市场竞争力</w:t>
      </w:r>
      <w:r>
        <w:rPr>
          <w:rFonts w:ascii="Times New Roman" w:hAnsi="Times New Roman" w:eastAsia="宋体" w:cs="Times New Roman"/>
          <w:sz w:val="24"/>
          <w:szCs w:val="24"/>
          <w:vertAlign w:val="superscript"/>
        </w:rPr>
        <w:t>[6]</w:t>
      </w:r>
      <w:r>
        <w:rPr>
          <w:rFonts w:ascii="Times New Roman" w:hAnsi="Times New Roman" w:eastAsia="宋体" w:cs="Times New Roman"/>
          <w:sz w:val="24"/>
          <w:szCs w:val="24"/>
        </w:rPr>
        <w:t>。</w:t>
      </w:r>
    </w:p>
    <w:bookmarkEnd w:id="9"/>
    <w:p w14:paraId="5C7CC15E">
      <w:pPr>
        <w:pStyle w:val="4"/>
        <w:numPr>
          <w:ilvl w:val="0"/>
          <w:numId w:val="2"/>
        </w:numPr>
        <w:ind w:left="0" w:leftChars="0" w:firstLine="0" w:firstLineChars="0"/>
        <w:rPr>
          <w:b w:val="0"/>
          <w:bdr w:val="none" w:sz="0" w:space="0"/>
        </w:rPr>
      </w:pPr>
      <w:bookmarkStart w:id="10" w:name="_Toc30570"/>
      <w:bookmarkStart w:id="11" w:name="国内外现状"/>
      <w:r>
        <w:t>国内外现状</w:t>
      </w:r>
      <w:bookmarkEnd w:id="10"/>
    </w:p>
    <w:p w14:paraId="12A45828">
      <w:pPr>
        <w:pStyle w:val="3"/>
        <w:rPr>
          <w:rFonts w:ascii="Times New Roman" w:hAnsi="Times New Roman" w:eastAsia="宋体" w:cs="Times New Roman"/>
          <w:sz w:val="24"/>
          <w:szCs w:val="24"/>
        </w:rPr>
      </w:pPr>
      <w:r>
        <w:rPr>
          <w:rFonts w:ascii="Times New Roman" w:hAnsi="Times New Roman" w:eastAsia="宋体" w:cs="Times New Roman"/>
          <w:sz w:val="24"/>
          <w:szCs w:val="24"/>
        </w:rPr>
        <w:t>随着汽车工业的技术进步，国内外学者和工程师在盘式制动器的结构设计、有限元仿真分析以及轻量化优化方面开展了大量深入的研究工作，取得了丰硕的成果。当前的研究热点主要集中在制动过程中的热-机耦合效应、制动噪声抑制以及基于先进算法的多目标拓扑优化等领域。</w:t>
      </w:r>
    </w:p>
    <w:p w14:paraId="5147B826">
      <w:pPr>
        <w:pStyle w:val="5"/>
        <w:numPr>
          <w:ilvl w:val="0"/>
          <w:numId w:val="3"/>
        </w:numPr>
        <w:ind w:left="0" w:leftChars="0" w:firstLine="0" w:firstLineChars="0"/>
        <w:rPr>
          <w:b w:val="0"/>
          <w:bdr w:val="none" w:sz="0" w:space="0"/>
        </w:rPr>
      </w:pPr>
      <w:bookmarkStart w:id="12" w:name="_Toc1295"/>
      <w:bookmarkStart w:id="13" w:name="国内现状"/>
      <w:r>
        <w:t>国内现状</w:t>
      </w:r>
      <w:bookmarkEnd w:id="12"/>
    </w:p>
    <w:p w14:paraId="551EFBCE">
      <w:pPr>
        <w:pStyle w:val="3"/>
        <w:rPr>
          <w:rFonts w:ascii="Times New Roman" w:hAnsi="Times New Roman" w:eastAsia="宋体" w:cs="Times New Roman"/>
          <w:sz w:val="24"/>
          <w:szCs w:val="24"/>
        </w:rPr>
      </w:pPr>
      <w:r>
        <w:rPr>
          <w:rFonts w:ascii="Times New Roman" w:hAnsi="Times New Roman" w:eastAsia="宋体" w:cs="Times New Roman"/>
          <w:sz w:val="24"/>
          <w:szCs w:val="24"/>
        </w:rPr>
        <w:t>国内在汽车盘式制动器领域的研究起步相对较晚，但近年来发展迅速，特别是在有限元分析和结构优化方面取得了显著进展。许多学者利用ANSYS、ABAQUS等主流商业有限元软件，对制动盘在各种复杂工况下的力学和热学行为进行了详细的数值模拟</w:t>
      </w:r>
      <w:r>
        <w:rPr>
          <w:rFonts w:ascii="Times New Roman" w:hAnsi="Times New Roman" w:eastAsia="宋体" w:cs="Times New Roman"/>
          <w:sz w:val="24"/>
          <w:szCs w:val="24"/>
          <w:vertAlign w:val="superscript"/>
        </w:rPr>
        <w:t>[7]</w:t>
      </w:r>
      <w:r>
        <w:rPr>
          <w:rFonts w:ascii="Times New Roman" w:hAnsi="Times New Roman" w:eastAsia="宋体" w:cs="Times New Roman"/>
          <w:sz w:val="24"/>
          <w:szCs w:val="24"/>
        </w:rPr>
        <w:t>。在静力学与模态分析方面，研究人员通过建立高精度的三维模型，深入分析了制动压力对制动盘应力应变分布的影响，并通过提取固有频率和振型，探讨了制动系统产生高频尖叫噪声的机理</w:t>
      </w:r>
      <w:r>
        <w:rPr>
          <w:rFonts w:ascii="Times New Roman" w:hAnsi="Times New Roman" w:eastAsia="宋体" w:cs="Times New Roman"/>
          <w:sz w:val="24"/>
          <w:szCs w:val="24"/>
          <w:vertAlign w:val="superscript"/>
        </w:rPr>
        <w:t>[8]</w:t>
      </w:r>
      <w:r>
        <w:rPr>
          <w:rFonts w:ascii="Times New Roman" w:hAnsi="Times New Roman" w:eastAsia="宋体" w:cs="Times New Roman"/>
          <w:sz w:val="24"/>
          <w:szCs w:val="24"/>
        </w:rPr>
        <w:t>。在热分析方面，国内研究多聚焦于紧急制动和长下坡连续制动工况下的温度场分布规律，提出了多种改善散热性能的结构方案，如设计不同形状的通风道、表面打孔或开槽等</w:t>
      </w:r>
      <w:r>
        <w:rPr>
          <w:rFonts w:ascii="Times New Roman" w:hAnsi="Times New Roman" w:eastAsia="宋体" w:cs="Times New Roman"/>
          <w:sz w:val="24"/>
          <w:szCs w:val="24"/>
          <w:vertAlign w:val="superscript"/>
        </w:rPr>
        <w:t>[9]</w:t>
      </w:r>
      <w:r>
        <w:rPr>
          <w:rFonts w:ascii="Times New Roman" w:hAnsi="Times New Roman" w:eastAsia="宋体" w:cs="Times New Roman"/>
          <w:sz w:val="24"/>
          <w:szCs w:val="24"/>
        </w:rPr>
        <w:t>。</w:t>
      </w:r>
    </w:p>
    <w:p w14:paraId="7CC4F591">
      <w:pPr>
        <w:pStyle w:val="40"/>
      </w:pPr>
      <w:r>
        <w:drawing>
          <wp:inline distT="0" distB="0" distL="114300" distR="114300">
            <wp:extent cx="5334000" cy="4670425"/>
            <wp:effectExtent l="0" t="0" r="0" b="0"/>
            <wp:docPr id="25" name="Picture" descr="图1-1 制动盘热力学分析温度场分布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descr="图1-1 制动盘热力学分析温度场分布示意图"/>
                    <pic:cNvPicPr>
                      <a:picLocks noChangeAspect="1" noChangeArrowheads="1"/>
                    </pic:cNvPicPr>
                  </pic:nvPicPr>
                  <pic:blipFill>
                    <a:blip r:embed="rId5"/>
                    <a:stretch>
                      <a:fillRect/>
                    </a:stretch>
                  </pic:blipFill>
                  <pic:spPr>
                    <a:xfrm>
                      <a:off x="0" y="0"/>
                      <a:ext cx="5334000" cy="4670961"/>
                    </a:xfrm>
                    <a:prstGeom prst="rect">
                      <a:avLst/>
                    </a:prstGeom>
                    <a:noFill/>
                    <a:ln w="9525">
                      <a:noFill/>
                    </a:ln>
                  </pic:spPr>
                </pic:pic>
              </a:graphicData>
            </a:graphic>
          </wp:inline>
        </w:drawing>
      </w:r>
    </w:p>
    <w:p w14:paraId="460D39F3">
      <w:pPr>
        <w:pStyle w:val="78"/>
        <w:widowControl/>
      </w:pPr>
      <w:r>
        <w:t>图1-1 制动盘热力学分析温度场分布示意图</w:t>
      </w:r>
    </w:p>
    <w:p w14:paraId="0FC23D6C">
      <w:pPr>
        <w:pStyle w:val="3"/>
        <w:rPr>
          <w:rFonts w:ascii="Times New Roman" w:hAnsi="Times New Roman" w:eastAsia="宋体" w:cs="Times New Roman"/>
          <w:sz w:val="24"/>
          <w:szCs w:val="24"/>
        </w:rPr>
      </w:pPr>
      <w:r>
        <w:rPr>
          <w:rFonts w:ascii="Times New Roman" w:hAnsi="Times New Roman" w:eastAsia="宋体" w:cs="Times New Roman"/>
          <w:sz w:val="24"/>
          <w:szCs w:val="24"/>
        </w:rPr>
        <w:t>在轻量化设计方面，拓扑优化技术得到了广泛应用。例如，有研究针对纯电动汽车的盘式制动器，在满足自身刚度和强度要求的同时，运用拓扑优化技术对钳体和制动盘进行了减重设计，取得了良好的效果</w:t>
      </w:r>
      <w:r>
        <w:rPr>
          <w:rFonts w:ascii="Times New Roman" w:hAnsi="Times New Roman" w:eastAsia="宋体" w:cs="Times New Roman"/>
          <w:sz w:val="24"/>
          <w:szCs w:val="24"/>
          <w:vertAlign w:val="superscript"/>
        </w:rPr>
        <w:t>[10]</w:t>
      </w:r>
      <w:r>
        <w:rPr>
          <w:rFonts w:ascii="Times New Roman" w:hAnsi="Times New Roman" w:eastAsia="宋体" w:cs="Times New Roman"/>
          <w:sz w:val="24"/>
          <w:szCs w:val="24"/>
        </w:rPr>
        <w:t>。此外，针对制动盘摩擦生热问题，国内学者基于Workbench平台进行了热-结构耦合分析，旨在深入探究制动过程中摩擦生热对制动盘热应力和热变形的影响，为制动器的优化设计提供了可靠的理论依据。还有研究将多目标拓扑优化算法应用于液压制动器的传热优化中，通过改进结构设计，显著提升了制动器的散热效率。在模态分析与降噪方面，国内专家采用复模态分析方法，确定了结构中的不稳定模态，从而对刹车系统中的结构进行优化，有效降低了制动噪音的发生概率。尽管国内在理论研究和仿真技术上已取得长足进步，但在高性能摩擦材料的研发、多物理场深度耦合分析以及优化成果的工程转化率方面，与国际先进水平相比仍存在一定差距。</w:t>
      </w:r>
    </w:p>
    <w:p w14:paraId="749E80A0">
      <w:pPr>
        <w:pStyle w:val="40"/>
      </w:pPr>
      <w:r>
        <w:drawing>
          <wp:inline distT="0" distB="0" distL="114300" distR="114300">
            <wp:extent cx="5334000" cy="2514600"/>
            <wp:effectExtent l="0" t="0" r="0" b="0"/>
            <wp:docPr id="28" name="Picture" descr="图1-2 制动盘拓扑优化结构设计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descr="图1-2 制动盘拓扑优化结构设计示意图"/>
                    <pic:cNvPicPr>
                      <a:picLocks noChangeAspect="1" noChangeArrowheads="1"/>
                    </pic:cNvPicPr>
                  </pic:nvPicPr>
                  <pic:blipFill>
                    <a:blip r:embed="rId6"/>
                    <a:stretch>
                      <a:fillRect/>
                    </a:stretch>
                  </pic:blipFill>
                  <pic:spPr>
                    <a:xfrm>
                      <a:off x="0" y="0"/>
                      <a:ext cx="5334000" cy="2515156"/>
                    </a:xfrm>
                    <a:prstGeom prst="rect">
                      <a:avLst/>
                    </a:prstGeom>
                    <a:noFill/>
                    <a:ln w="9525">
                      <a:noFill/>
                    </a:ln>
                  </pic:spPr>
                </pic:pic>
              </a:graphicData>
            </a:graphic>
          </wp:inline>
        </w:drawing>
      </w:r>
    </w:p>
    <w:p w14:paraId="4CD1F6C3">
      <w:pPr>
        <w:pStyle w:val="78"/>
        <w:widowControl/>
      </w:pPr>
      <w:r>
        <w:t>图1-2 制动盘拓扑优化结构设计示意图</w:t>
      </w:r>
    </w:p>
    <w:bookmarkEnd w:id="13"/>
    <w:p w14:paraId="0210E93B">
      <w:pPr>
        <w:pStyle w:val="5"/>
        <w:numPr>
          <w:ilvl w:val="0"/>
          <w:numId w:val="3"/>
        </w:numPr>
        <w:ind w:left="0" w:leftChars="0" w:firstLine="0" w:firstLineChars="0"/>
        <w:rPr>
          <w:b w:val="0"/>
          <w:bdr w:val="none" w:sz="0" w:space="0"/>
        </w:rPr>
      </w:pPr>
      <w:bookmarkStart w:id="14" w:name="_Toc12100"/>
      <w:bookmarkStart w:id="15" w:name="国外现状"/>
      <w:r>
        <w:t>国外现状</w:t>
      </w:r>
      <w:bookmarkEnd w:id="14"/>
    </w:p>
    <w:p w14:paraId="29E5E857">
      <w:pPr>
        <w:pStyle w:val="3"/>
        <w:rPr>
          <w:rFonts w:ascii="Times New Roman" w:hAnsi="Times New Roman" w:eastAsia="宋体" w:cs="Times New Roman"/>
          <w:sz w:val="24"/>
          <w:szCs w:val="24"/>
        </w:rPr>
      </w:pPr>
      <w:r>
        <w:rPr>
          <w:rFonts w:ascii="Times New Roman" w:hAnsi="Times New Roman" w:eastAsia="宋体" w:cs="Times New Roman"/>
          <w:sz w:val="24"/>
          <w:szCs w:val="24"/>
        </w:rPr>
        <w:t>国外在汽车制动系统领域的研究历史悠久，技术积淀深厚，尤其在高端轿车和赛车制动器的研发上处于领先地位。国外学者的研究不仅涵盖了常规的结构强度和热力学分析，更注重多学科交叉融合与先进材料的应用</w:t>
      </w:r>
      <w:r>
        <w:rPr>
          <w:rFonts w:ascii="Times New Roman" w:hAnsi="Times New Roman" w:eastAsia="宋体" w:cs="Times New Roman"/>
          <w:sz w:val="24"/>
          <w:szCs w:val="24"/>
          <w:vertAlign w:val="superscript"/>
        </w:rPr>
        <w:t>[11]</w:t>
      </w:r>
      <w:r>
        <w:rPr>
          <w:rFonts w:ascii="Times New Roman" w:hAnsi="Times New Roman" w:eastAsia="宋体" w:cs="Times New Roman"/>
          <w:sz w:val="24"/>
          <w:szCs w:val="24"/>
        </w:rPr>
        <w:t>。在结构优化方面，国外广泛采用拓扑优化、形状优化和尺寸优化相结合的综合优化策略。例如，利用有限元方法结合拓扑优化技术对山地自行车或轻型汽车的盘式制动器转子进行设计和比较，成功在不降低结构强度的前提下实现了显著的减重目标</w:t>
      </w:r>
      <w:r>
        <w:rPr>
          <w:rFonts w:ascii="Times New Roman" w:hAnsi="Times New Roman" w:eastAsia="宋体" w:cs="Times New Roman"/>
          <w:sz w:val="24"/>
          <w:szCs w:val="24"/>
          <w:vertAlign w:val="superscript"/>
        </w:rPr>
        <w:t>[12]</w:t>
      </w:r>
      <w:r>
        <w:rPr>
          <w:rFonts w:ascii="Times New Roman" w:hAnsi="Times New Roman" w:eastAsia="宋体" w:cs="Times New Roman"/>
          <w:sz w:val="24"/>
          <w:szCs w:val="24"/>
        </w:rPr>
        <w:t>。</w:t>
      </w:r>
    </w:p>
    <w:p w14:paraId="16643211">
      <w:pPr>
        <w:pStyle w:val="40"/>
      </w:pPr>
      <w:r>
        <w:drawing>
          <wp:inline distT="0" distB="0" distL="114300" distR="114300">
            <wp:extent cx="5334000" cy="3768725"/>
            <wp:effectExtent l="0" t="0" r="0" b="0"/>
            <wp:docPr id="32" name="Picture" descr="图1-3 制动盘应力分布云图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descr="图1-3 制动盘应力分布云图分析"/>
                    <pic:cNvPicPr>
                      <a:picLocks noChangeAspect="1" noChangeArrowheads="1"/>
                    </pic:cNvPicPr>
                  </pic:nvPicPr>
                  <pic:blipFill>
                    <a:blip r:embed="rId7"/>
                    <a:stretch>
                      <a:fillRect/>
                    </a:stretch>
                  </pic:blipFill>
                  <pic:spPr>
                    <a:xfrm>
                      <a:off x="0" y="0"/>
                      <a:ext cx="5334000" cy="3768840"/>
                    </a:xfrm>
                    <a:prstGeom prst="rect">
                      <a:avLst/>
                    </a:prstGeom>
                    <a:noFill/>
                    <a:ln w="9525">
                      <a:noFill/>
                    </a:ln>
                  </pic:spPr>
                </pic:pic>
              </a:graphicData>
            </a:graphic>
          </wp:inline>
        </w:drawing>
      </w:r>
    </w:p>
    <w:p w14:paraId="4ADAB732">
      <w:pPr>
        <w:pStyle w:val="78"/>
        <w:widowControl/>
      </w:pPr>
      <w:r>
        <w:t>图1-3 制动盘应力分布云图分析</w:t>
      </w:r>
    </w:p>
    <w:p w14:paraId="34AFCE29">
      <w:pPr>
        <w:pStyle w:val="3"/>
        <w:rPr>
          <w:rFonts w:ascii="Times New Roman" w:hAnsi="Times New Roman" w:eastAsia="宋体" w:cs="Times New Roman"/>
          <w:sz w:val="24"/>
          <w:szCs w:val="24"/>
        </w:rPr>
      </w:pPr>
      <w:r>
        <w:rPr>
          <w:rFonts w:ascii="Times New Roman" w:hAnsi="Times New Roman" w:eastAsia="宋体" w:cs="Times New Roman"/>
          <w:sz w:val="24"/>
          <w:szCs w:val="24"/>
        </w:rPr>
        <w:t>在热-机械性能分析方面，国外研究通常建立复杂的三维热-结构耦合模型，考虑材料属性随温度的非线性变化，精确预测制动过程中的瞬态温度场、热应力及热疲劳寿命</w:t>
      </w:r>
      <w:r>
        <w:rPr>
          <w:rFonts w:ascii="Times New Roman" w:hAnsi="Times New Roman" w:eastAsia="宋体" w:cs="Times New Roman"/>
          <w:sz w:val="24"/>
          <w:szCs w:val="24"/>
          <w:vertAlign w:val="superscript"/>
        </w:rPr>
        <w:t>[13]</w:t>
      </w:r>
      <w:r>
        <w:rPr>
          <w:rFonts w:ascii="Times New Roman" w:hAnsi="Times New Roman" w:eastAsia="宋体" w:cs="Times New Roman"/>
          <w:sz w:val="24"/>
          <w:szCs w:val="24"/>
        </w:rPr>
        <w:t>。有学者通过数值研究，详细分析了不同轮廓的制动盘在紧急制动时的热机械行为，为优化制动盘形状提供了科学指导</w:t>
      </w:r>
      <w:r>
        <w:rPr>
          <w:rFonts w:ascii="Times New Roman" w:hAnsi="Times New Roman" w:eastAsia="宋体" w:cs="Times New Roman"/>
          <w:sz w:val="24"/>
          <w:szCs w:val="24"/>
          <w:vertAlign w:val="superscript"/>
        </w:rPr>
        <w:t>[14]</w:t>
      </w:r>
      <w:r>
        <w:rPr>
          <w:rFonts w:ascii="Times New Roman" w:hAnsi="Times New Roman" w:eastAsia="宋体" w:cs="Times New Roman"/>
          <w:sz w:val="24"/>
          <w:szCs w:val="24"/>
        </w:rPr>
        <w:t>。此外，为了提高制动器的综合性能，国外研究人员还致力于开发新型轻质高强材料，如碳纤维陶瓷复合材料（C/SiC）和铝基碳化硅复合材料等，并对其在极端条件下的摩擦磨损特性进行深入研究。在仿真工具的开发与应用上，国外企业不仅熟练运用各类CAE软件，还开发了大量专用的二次开发插件和自动化设计平台，实现了从CAD建模到FEA仿真再到结构优化的无缝衔接。例如，通过SolidWorks与ANSYS Workbench的深度集成，实现了制动盘热-静力学分析的参数化驱动，极大提高了设计效率</w:t>
      </w:r>
      <w:r>
        <w:rPr>
          <w:rFonts w:ascii="Times New Roman" w:hAnsi="Times New Roman" w:eastAsia="宋体" w:cs="Times New Roman"/>
          <w:sz w:val="24"/>
          <w:szCs w:val="24"/>
          <w:vertAlign w:val="superscript"/>
        </w:rPr>
        <w:t>[15]</w:t>
      </w:r>
      <w:r>
        <w:rPr>
          <w:rFonts w:ascii="Times New Roman" w:hAnsi="Times New Roman" w:eastAsia="宋体" w:cs="Times New Roman"/>
          <w:sz w:val="24"/>
          <w:szCs w:val="24"/>
        </w:rPr>
        <w:t>。总体而言，国外在盘式制动器的研究上更加注重系统级优化、材料创新以及仿真与试验的高度吻合，其先进的设计理念和方法对制动器行业的发展具有重要的借鉴意义。</w:t>
      </w:r>
    </w:p>
    <w:p w14:paraId="79E565B4">
      <w:pPr>
        <w:pStyle w:val="40"/>
      </w:pPr>
      <w:r>
        <w:drawing>
          <wp:inline distT="0" distB="0" distL="114300" distR="114300">
            <wp:extent cx="5334000" cy="1541780"/>
            <wp:effectExtent l="0" t="0" r="0" b="0"/>
            <wp:docPr id="35" name="Picture" descr="图1-4 紧急制动工况下制动盘热疲劳与温度场预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descr="图1-4 紧急制动工况下制动盘热疲劳与温度场预测"/>
                    <pic:cNvPicPr>
                      <a:picLocks noChangeAspect="1" noChangeArrowheads="1"/>
                    </pic:cNvPicPr>
                  </pic:nvPicPr>
                  <pic:blipFill>
                    <a:blip r:embed="rId8"/>
                    <a:stretch>
                      <a:fillRect/>
                    </a:stretch>
                  </pic:blipFill>
                  <pic:spPr>
                    <a:xfrm>
                      <a:off x="0" y="0"/>
                      <a:ext cx="5334000" cy="1541798"/>
                    </a:xfrm>
                    <a:prstGeom prst="rect">
                      <a:avLst/>
                    </a:prstGeom>
                    <a:noFill/>
                    <a:ln w="9525">
                      <a:noFill/>
                    </a:ln>
                  </pic:spPr>
                </pic:pic>
              </a:graphicData>
            </a:graphic>
          </wp:inline>
        </w:drawing>
      </w:r>
    </w:p>
    <w:p w14:paraId="41F6FCA0">
      <w:pPr>
        <w:pStyle w:val="78"/>
        <w:widowControl/>
      </w:pPr>
      <w:r>
        <w:t>图1-4 紧急制动工况下制动盘热疲劳与温度场预测</w:t>
      </w:r>
    </w:p>
    <w:bookmarkEnd w:id="11"/>
    <w:bookmarkEnd w:id="15"/>
    <w:p w14:paraId="40A918CB">
      <w:pPr>
        <w:pStyle w:val="4"/>
        <w:numPr>
          <w:ilvl w:val="0"/>
          <w:numId w:val="2"/>
        </w:numPr>
        <w:ind w:left="0" w:leftChars="0" w:firstLine="0" w:firstLineChars="0"/>
        <w:rPr>
          <w:b w:val="0"/>
          <w:bdr w:val="none" w:sz="0" w:space="0"/>
        </w:rPr>
      </w:pPr>
      <w:bookmarkStart w:id="16" w:name="_Toc23592"/>
      <w:bookmarkStart w:id="17" w:name="发展趋势"/>
      <w:r>
        <w:t>发展趋势</w:t>
      </w:r>
      <w:bookmarkEnd w:id="16"/>
    </w:p>
    <w:p w14:paraId="3F663BE0">
      <w:pPr>
        <w:pStyle w:val="3"/>
        <w:rPr>
          <w:rFonts w:ascii="Times New Roman" w:hAnsi="Times New Roman" w:eastAsia="宋体" w:cs="Times New Roman"/>
          <w:sz w:val="24"/>
          <w:szCs w:val="24"/>
        </w:rPr>
      </w:pPr>
      <w:r>
        <w:rPr>
          <w:rFonts w:ascii="Times New Roman" w:hAnsi="Times New Roman" w:eastAsia="宋体" w:cs="Times New Roman"/>
          <w:sz w:val="24"/>
          <w:szCs w:val="24"/>
        </w:rPr>
        <w:t>随着汽车向电动化、智能化、网联化和轻量化方向的迅猛发展，盘式制动器的设计与制造也面临着新的机遇和挑战，其未来的发展趋势主要体现在以下几个方面。首先，轻量化设计将成为永恒的主题。为了进一步降低能耗和提升续航里程（尤其是对于新能源汽车），制动器零部件的减重需求日益迫切。除了继续深化拓扑优化等先进设计方法的应用外，采用铝合金、钛合金以及碳陶复合材料等新型轻质材料将成为主流趋势。其次，多物理场耦合仿真技术将更加成熟。未来的制动器设计将不再局限于单一的力学或热学分析，而是全面考虑流体动力学（空气动力学散热）、热力学、结构力学以及声学的深度耦合，实现对制动过程全工况、全生命周期的精确模拟。第三，线控制动系统（Brake-by-Wire）的普及将对制动器结构提出新要求。随着自动驾驶技术的发展，传统的液压制动管路将逐渐被电子控制单元和电机执行机构所取代，这就要求盘式制动器在结构上更加紧凑，响应速度更快，控制精度更高。第四，智能化与状态监测技术的融入。未来的制动器将集成各类微型传感器，实时监测制动盘的温度、磨损量、制动力矩等关键参数，通过数据分析实现制动系统的故障预警和寿命预测，提高行车安全性。最后，环保与低排放要求将推动摩擦材料的革新。为了减少制动过程中产生的粉尘颗粒对环境的污染，研发低磨损、无铜、无石棉的新型环保摩擦材料将成为行业发展的重要方向。</w:t>
      </w:r>
    </w:p>
    <w:bookmarkEnd w:id="17"/>
    <w:p w14:paraId="59C895CC">
      <w:pPr>
        <w:pStyle w:val="4"/>
        <w:numPr>
          <w:ilvl w:val="0"/>
          <w:numId w:val="2"/>
        </w:numPr>
        <w:ind w:left="0" w:leftChars="0" w:firstLine="0" w:firstLineChars="0"/>
        <w:rPr>
          <w:b w:val="0"/>
          <w:bdr w:val="none" w:sz="0" w:space="0"/>
        </w:rPr>
      </w:pPr>
      <w:bookmarkStart w:id="18" w:name="_Toc9254"/>
      <w:bookmarkStart w:id="19" w:name="设计内容设计方法设计难点"/>
      <w:r>
        <w:t>设计内容、设计方法、设计难点</w:t>
      </w:r>
      <w:bookmarkEnd w:id="18"/>
    </w:p>
    <w:p w14:paraId="36D3D895">
      <w:pPr>
        <w:pStyle w:val="5"/>
        <w:numPr>
          <w:ilvl w:val="0"/>
          <w:numId w:val="4"/>
        </w:numPr>
        <w:ind w:left="0" w:leftChars="0" w:firstLine="0" w:firstLineChars="0"/>
        <w:rPr>
          <w:b w:val="0"/>
          <w:bdr w:val="none" w:sz="0" w:space="0"/>
        </w:rPr>
      </w:pPr>
      <w:bookmarkStart w:id="20" w:name="_Toc11427"/>
      <w:bookmarkStart w:id="21" w:name="设计内容"/>
      <w:r>
        <w:t>设计内容</w:t>
      </w:r>
      <w:bookmarkEnd w:id="20"/>
    </w:p>
    <w:p w14:paraId="3F423F08">
      <w:pPr>
        <w:pStyle w:val="3"/>
        <w:rPr>
          <w:rFonts w:ascii="Times New Roman" w:hAnsi="Times New Roman" w:eastAsia="宋体" w:cs="Times New Roman"/>
          <w:sz w:val="24"/>
          <w:szCs w:val="24"/>
        </w:rPr>
      </w:pPr>
      <w:r>
        <w:rPr>
          <w:rFonts w:ascii="Times New Roman" w:hAnsi="Times New Roman" w:eastAsia="宋体" w:cs="Times New Roman"/>
          <w:sz w:val="24"/>
          <w:szCs w:val="24"/>
        </w:rPr>
        <w:t>本课题以某轻型轿车盘式制动器为研究对象，主要开展以下设计与研究内容：（1）查阅相关文献资料，了解盘式制动器的工作原理、结构特点及国内外研究现状。</w:t>
      </w:r>
    </w:p>
    <w:p w14:paraId="42B147E2">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根据给定的轻型轿车参数，进行制动器的初步结构设计与尺寸计算，确定制动盘的外径、内径、厚度及安装孔等关键几何参数。</w:t>
      </w:r>
    </w:p>
    <w:p w14:paraId="58D4DBEA">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利用SolidWorks三维建模软件，建立优化前实心制动盘及相关零部件的精确三维实体模型。</w:t>
      </w:r>
    </w:p>
    <w:p w14:paraId="4D5734A3">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将三维模型导入ANSYS Workbench有限元分析软件，设定合理的边界条件和载荷，对优化前制动盘进行静力学分析（求解应力、应变、变形）和模态分析（提取前6阶固有频率和振型）。</w:t>
      </w:r>
    </w:p>
    <w:p w14:paraId="185ADA53">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基于静力学分析结果，运用ANSYS拓扑优化模块，以最大化刚度（最小化柔度）为目标，以质量减少为约束条件，对制动盘进行拓扑优化设计，确定材料的最佳分布区域。</w:t>
      </w:r>
    </w:p>
    <w:p w14:paraId="35D9FFD8">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根据拓扑优化结果及实际加工工艺要求，在SolidWorks中对制动盘进行结构改进设计，如添加通风孔等，建立优化后的新型制动盘三维模型。</w:t>
      </w:r>
    </w:p>
    <w:p w14:paraId="2E48B39F">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对优化后的制动盘重新进行有限元静力学仿真，对比分析优化前后的各项性能指标（最大变形、最大等效应力等），验证优化方案的可行性与有效性。</w:t>
      </w:r>
    </w:p>
    <w:p w14:paraId="3EC95E39">
      <w:pPr>
        <w:pStyle w:val="3"/>
        <w:numPr>
          <w:ilvl w:val="0"/>
          <w:numId w:val="5"/>
        </w:numPr>
        <w:rPr>
          <w:rFonts w:ascii="Times New Roman" w:hAnsi="Times New Roman" w:eastAsia="宋体" w:cs="Times New Roman"/>
          <w:sz w:val="24"/>
          <w:szCs w:val="24"/>
        </w:rPr>
      </w:pPr>
      <w:r>
        <w:rPr>
          <w:rFonts w:ascii="Times New Roman" w:hAnsi="Times New Roman" w:eastAsia="宋体" w:cs="Times New Roman"/>
          <w:sz w:val="24"/>
          <w:szCs w:val="24"/>
        </w:rPr>
        <w:t>整理设计计算过程与仿真数据，撰写符合规范的毕业论文，并绘制相关工程图纸。</w:t>
      </w:r>
    </w:p>
    <w:bookmarkEnd w:id="21"/>
    <w:p w14:paraId="31974E45">
      <w:pPr>
        <w:pStyle w:val="5"/>
        <w:numPr>
          <w:ilvl w:val="0"/>
          <w:numId w:val="4"/>
        </w:numPr>
        <w:ind w:left="0" w:leftChars="0" w:firstLine="0" w:firstLineChars="0"/>
        <w:rPr>
          <w:b w:val="0"/>
          <w:bdr w:val="none" w:sz="0" w:space="0"/>
        </w:rPr>
      </w:pPr>
      <w:bookmarkStart w:id="22" w:name="_Toc19575"/>
      <w:bookmarkStart w:id="23" w:name="设计方法"/>
      <w:r>
        <w:t>设计方法</w:t>
      </w:r>
      <w:bookmarkEnd w:id="22"/>
    </w:p>
    <w:p w14:paraId="17E9BBE8">
      <w:pPr>
        <w:pStyle w:val="3"/>
        <w:numPr>
          <w:ilvl w:val="0"/>
          <w:numId w:val="6"/>
        </w:numPr>
        <w:rPr>
          <w:rFonts w:ascii="Times New Roman" w:hAnsi="Times New Roman" w:eastAsia="宋体" w:cs="Times New Roman"/>
          <w:sz w:val="24"/>
          <w:szCs w:val="24"/>
        </w:rPr>
      </w:pPr>
      <w:r>
        <w:rPr>
          <w:rFonts w:ascii="Times New Roman" w:hAnsi="Times New Roman" w:eastAsia="宋体" w:cs="Times New Roman"/>
          <w:sz w:val="24"/>
          <w:szCs w:val="24"/>
        </w:rPr>
        <w:t>理论计算与参数化建模相结合。首先依据汽车理论和机械设计原理，通过详细的数学公式计算出制动盘的基本尺寸参数，随后利用SolidWorks软件强大的参数化建模功能，构建三维实体模型，确保模型尺寸可灵活调整。</w:t>
      </w:r>
    </w:p>
    <w:p w14:paraId="400C4699">
      <w:pPr>
        <w:pStyle w:val="3"/>
        <w:numPr>
          <w:ilvl w:val="0"/>
          <w:numId w:val="6"/>
        </w:numPr>
        <w:rPr>
          <w:rFonts w:ascii="Times New Roman" w:hAnsi="Times New Roman" w:eastAsia="宋体" w:cs="Times New Roman"/>
          <w:sz w:val="24"/>
          <w:szCs w:val="24"/>
        </w:rPr>
      </w:pPr>
      <w:r>
        <w:rPr>
          <w:rFonts w:ascii="Times New Roman" w:hAnsi="Times New Roman" w:eastAsia="宋体" w:cs="Times New Roman"/>
          <w:sz w:val="24"/>
          <w:szCs w:val="24"/>
        </w:rPr>
        <w:t>有限元数值模拟技术。采用ANSYS Workbench作为核心分析工具，通过网格划分、施加约束和载荷等步骤，将复杂的连续体物理问题转化为离散的数学模型进行求解，获取制动盘内部的应力、应变分布及动态响应特性。</w:t>
      </w:r>
    </w:p>
    <w:p w14:paraId="503CE3DE">
      <w:pPr>
        <w:pStyle w:val="3"/>
        <w:numPr>
          <w:ilvl w:val="0"/>
          <w:numId w:val="6"/>
        </w:numPr>
        <w:rPr>
          <w:rFonts w:ascii="Times New Roman" w:hAnsi="Times New Roman" w:eastAsia="宋体" w:cs="Times New Roman"/>
          <w:sz w:val="24"/>
          <w:szCs w:val="24"/>
        </w:rPr>
      </w:pPr>
      <w:r>
        <w:rPr>
          <w:rFonts w:ascii="Times New Roman" w:hAnsi="Times New Roman" w:eastAsia="宋体" w:cs="Times New Roman"/>
          <w:sz w:val="24"/>
          <w:szCs w:val="24"/>
        </w:rPr>
        <w:t>拓扑优化驱动的创新设计。突破传统经验设计的束缚，引入拓扑优化算法，在设定的设计空间内寻找最优的材料分布路径，将优化生成的概念构型与制造工艺相结合，反向指导SolidWorks中三维模型的修改与完善。</w:t>
      </w:r>
    </w:p>
    <w:bookmarkEnd w:id="23"/>
    <w:p w14:paraId="19C03FB9">
      <w:pPr>
        <w:pStyle w:val="5"/>
        <w:numPr>
          <w:ilvl w:val="0"/>
          <w:numId w:val="4"/>
        </w:numPr>
        <w:ind w:left="0" w:leftChars="0" w:firstLine="0" w:firstLineChars="0"/>
        <w:rPr>
          <w:b w:val="0"/>
          <w:bdr w:val="none" w:sz="0" w:space="0"/>
        </w:rPr>
      </w:pPr>
      <w:bookmarkStart w:id="24" w:name="_Toc28936"/>
      <w:bookmarkStart w:id="25" w:name="设计难点"/>
      <w:r>
        <w:t>设计难点</w:t>
      </w:r>
      <w:bookmarkEnd w:id="24"/>
    </w:p>
    <w:p w14:paraId="03E75D4B">
      <w:pPr>
        <w:pStyle w:val="3"/>
        <w:numPr>
          <w:ilvl w:val="0"/>
          <w:numId w:val="7"/>
        </w:numPr>
        <w:rPr>
          <w:rFonts w:ascii="Times New Roman" w:hAnsi="Times New Roman" w:eastAsia="宋体" w:cs="Times New Roman"/>
          <w:sz w:val="24"/>
          <w:szCs w:val="24"/>
        </w:rPr>
      </w:pPr>
      <w:r>
        <w:rPr>
          <w:rFonts w:ascii="Times New Roman" w:hAnsi="Times New Roman" w:eastAsia="宋体" w:cs="Times New Roman"/>
          <w:sz w:val="24"/>
          <w:szCs w:val="24"/>
        </w:rPr>
        <w:t>复杂边界条件与载荷的准确施加。在有限元分析中，制动盘在实际工作时受到的制动力、摩擦力以及约束情况非常复杂，如何将其合理简化并准确等效到ANSYS模型中，是保证仿真结果准确性的关键难点。</w:t>
      </w:r>
    </w:p>
    <w:p w14:paraId="19DB8FEE">
      <w:pPr>
        <w:pStyle w:val="3"/>
        <w:numPr>
          <w:ilvl w:val="0"/>
          <w:numId w:val="7"/>
        </w:numPr>
        <w:rPr>
          <w:rFonts w:ascii="Times New Roman" w:hAnsi="Times New Roman" w:eastAsia="宋体" w:cs="Times New Roman"/>
          <w:sz w:val="24"/>
          <w:szCs w:val="24"/>
        </w:rPr>
      </w:pPr>
      <w:r>
        <w:rPr>
          <w:rFonts w:ascii="Times New Roman" w:hAnsi="Times New Roman" w:eastAsia="宋体" w:cs="Times New Roman"/>
          <w:sz w:val="24"/>
          <w:szCs w:val="24"/>
        </w:rPr>
        <w:t>拓扑优化结果的工程化重构。ANSYS拓扑优化输出的结果通常是不规则的材料密度云图，包含许多毛刺和孔洞，无法直接用于加工制造。如何将这些概念性的拓扑形状转化为符合机械加工规范、尺寸明确的实体特征（如规则的通风孔），需要丰富的设计经验和判断力。</w:t>
      </w:r>
    </w:p>
    <w:p w14:paraId="61916061">
      <w:pPr>
        <w:pStyle w:val="3"/>
        <w:numPr>
          <w:ilvl w:val="0"/>
          <w:numId w:val="7"/>
        </w:numPr>
        <w:rPr>
          <w:rFonts w:ascii="Times New Roman" w:hAnsi="Times New Roman" w:eastAsia="宋体" w:cs="Times New Roman"/>
          <w:sz w:val="24"/>
          <w:szCs w:val="24"/>
        </w:rPr>
      </w:pPr>
      <w:r>
        <w:rPr>
          <w:rFonts w:ascii="Times New Roman" w:hAnsi="Times New Roman" w:eastAsia="宋体" w:cs="Times New Roman"/>
          <w:sz w:val="24"/>
          <w:szCs w:val="24"/>
        </w:rPr>
        <w:t>多目标性能的平衡与取舍。在进行结构优化时，减轻质量、降低应力、提高刚度以及改善散热往往是相互矛盾的。例如，增加通风孔虽然有利于散热和减重，但可能会削弱制动盘的局部强度。如何在这些相互制约的性能指标之间找到最佳平衡点，是本设计的核心挑战。</w:t>
      </w:r>
    </w:p>
    <w:bookmarkEnd w:id="5"/>
    <w:bookmarkEnd w:id="19"/>
    <w:bookmarkEnd w:id="25"/>
    <w:p w14:paraId="09F95A44">
      <w:pPr>
        <w:pStyle w:val="2"/>
        <w:numPr>
          <w:ilvl w:val="0"/>
          <w:numId w:val="1"/>
        </w:numPr>
        <w:ind w:left="0" w:leftChars="0" w:firstLine="0" w:firstLineChars="0"/>
        <w:rPr>
          <w:b w:val="0"/>
          <w:bdr w:val="none" w:sz="0" w:space="0"/>
        </w:rPr>
      </w:pPr>
      <w:bookmarkStart w:id="26" w:name="_Toc10073"/>
      <w:bookmarkStart w:id="27" w:name="第二章-制动盘设计计算与solidworks建模"/>
      <w:r>
        <w:br w:type="page"/>
      </w:r>
      <w:r>
        <w:t>制动盘设计计算与SolidWorks建模</w:t>
      </w:r>
      <w:bookmarkEnd w:id="26"/>
    </w:p>
    <w:p w14:paraId="7FCDC3D2">
      <w:pPr>
        <w:pStyle w:val="4"/>
        <w:numPr>
          <w:ilvl w:val="0"/>
          <w:numId w:val="8"/>
        </w:numPr>
        <w:ind w:left="0" w:leftChars="0" w:firstLine="0" w:firstLineChars="0"/>
        <w:rPr>
          <w:b w:val="0"/>
          <w:bdr w:val="none" w:sz="0" w:space="0"/>
        </w:rPr>
      </w:pPr>
      <w:bookmarkStart w:id="28" w:name="_Toc18377"/>
      <w:bookmarkStart w:id="29" w:name="制动盘结构与参数设计"/>
      <w:r>
        <w:t>制动盘结构与参数设计</w:t>
      </w:r>
      <w:bookmarkEnd w:id="28"/>
    </w:p>
    <w:p w14:paraId="4C34EDBA">
      <w:pPr>
        <w:pStyle w:val="3"/>
        <w:rPr>
          <w:rFonts w:ascii="Times New Roman" w:hAnsi="Times New Roman" w:eastAsia="宋体" w:cs="Times New Roman"/>
          <w:sz w:val="24"/>
          <w:szCs w:val="24"/>
        </w:rPr>
      </w:pPr>
      <w:r>
        <w:rPr>
          <w:rFonts w:ascii="Times New Roman" w:hAnsi="Times New Roman" w:eastAsia="宋体" w:cs="Times New Roman"/>
          <w:sz w:val="24"/>
          <w:szCs w:val="24"/>
        </w:rPr>
        <w:t>在进行制动盘的有限元分析和结构优化之前，首先需要根据某轻型轿车的基本参数对其进行结构设计和尺寸计算。制动盘是盘式制动器中最重要的摩擦偶件之一，其尺寸直接决定了制动器的制动力矩、热容量以及结构强度。</w:t>
      </w:r>
    </w:p>
    <w:p w14:paraId="5E1AF9DF">
      <w:pPr>
        <w:pStyle w:val="5"/>
        <w:numPr>
          <w:ilvl w:val="0"/>
          <w:numId w:val="9"/>
        </w:numPr>
        <w:ind w:left="0" w:leftChars="0" w:firstLine="0" w:firstLineChars="0"/>
        <w:rPr>
          <w:b w:val="0"/>
          <w:bdr w:val="none" w:sz="0" w:space="0"/>
        </w:rPr>
      </w:pPr>
      <w:bookmarkStart w:id="30" w:name="_Toc19974"/>
      <w:bookmarkStart w:id="31" w:name="车辆基本参数"/>
      <w:r>
        <w:t>车辆基本参数</w:t>
      </w:r>
      <w:bookmarkEnd w:id="30"/>
    </w:p>
    <w:p w14:paraId="746BFD95">
      <w:pPr>
        <w:pStyle w:val="3"/>
        <w:rPr>
          <w:rFonts w:ascii="Times New Roman" w:hAnsi="Times New Roman" w:eastAsia="宋体" w:cs="Times New Roman"/>
          <w:sz w:val="24"/>
          <w:szCs w:val="24"/>
        </w:rPr>
      </w:pPr>
      <w:r>
        <w:rPr>
          <w:rFonts w:ascii="Times New Roman" w:hAnsi="Times New Roman" w:eastAsia="宋体" w:cs="Times New Roman"/>
          <w:sz w:val="24"/>
          <w:szCs w:val="24"/>
        </w:rPr>
        <w:t>本设计以某典型轻型轿车为研究对象，其基本整车参数如下表所示：</w:t>
      </w:r>
    </w:p>
    <w:tbl>
      <w:tblPr>
        <w:tblStyle w:val="34"/>
        <w:tblW w:w="7920" w:type="dxa"/>
        <w:jc w:val="center"/>
        <w:tblLayout w:type="autofit"/>
        <w:tblCellMar>
          <w:top w:w="0" w:type="dxa"/>
          <w:left w:w="108" w:type="dxa"/>
          <w:bottom w:w="0" w:type="dxa"/>
          <w:right w:w="108" w:type="dxa"/>
        </w:tblCellMar>
      </w:tblPr>
      <w:tblGrid>
        <w:gridCol w:w="3733"/>
        <w:gridCol w:w="1387"/>
        <w:gridCol w:w="1387"/>
        <w:gridCol w:w="1413"/>
      </w:tblGrid>
      <w:tr w14:paraId="3D4BD0B1">
        <w:tblPrEx>
          <w:tblCellMar>
            <w:top w:w="0" w:type="dxa"/>
            <w:left w:w="108" w:type="dxa"/>
            <w:bottom w:w="0" w:type="dxa"/>
            <w:right w:w="108" w:type="dxa"/>
          </w:tblCellMar>
        </w:tblPrEx>
        <w:trPr>
          <w:trHeight w:val="0" w:hRule="atLeast"/>
          <w:tblHeader/>
          <w:jc w:val="center"/>
        </w:trPr>
        <w:tc>
          <w:tcPr>
            <w:tcW w:w="3733" w:type="dxa"/>
            <w:tcBorders>
              <w:top w:val="single" w:color="auto" w:sz="12" w:space="0"/>
              <w:left w:val="nil"/>
              <w:bottom w:val="nil"/>
              <w:right w:val="nil"/>
            </w:tcBorders>
            <w:noWrap w:val="0"/>
            <w:tcMar>
              <w:top w:w="-1" w:type="dxa"/>
              <w:left w:w="-1" w:type="dxa"/>
              <w:bottom w:w="-1" w:type="dxa"/>
              <w:right w:w="-1" w:type="dxa"/>
            </w:tcMar>
            <w:vAlign w:val="center"/>
          </w:tcPr>
          <w:p w14:paraId="6F6AC8C2">
            <w:pPr>
              <w:pStyle w:val="28"/>
              <w:snapToGrid w:val="0"/>
              <w:spacing w:line="240" w:lineRule="auto"/>
              <w:ind w:left="0" w:leftChars="0" w:right="0" w:rightChars="0" w:firstLine="0" w:firstLineChars="0"/>
              <w:jc w:val="center"/>
              <w:rPr>
                <w:b/>
              </w:rPr>
            </w:pPr>
            <w:r>
              <w:rPr>
                <w:b/>
              </w:rPr>
              <w:t>参数名称</w:t>
            </w:r>
          </w:p>
        </w:tc>
        <w:tc>
          <w:tcPr>
            <w:tcW w:w="1387" w:type="dxa"/>
            <w:tcBorders>
              <w:top w:val="single" w:color="auto" w:sz="12" w:space="0"/>
              <w:left w:val="nil"/>
              <w:bottom w:val="nil"/>
              <w:right w:val="nil"/>
            </w:tcBorders>
            <w:noWrap w:val="0"/>
            <w:tcMar>
              <w:top w:w="-1" w:type="dxa"/>
              <w:left w:w="-1" w:type="dxa"/>
              <w:bottom w:w="-1" w:type="dxa"/>
              <w:right w:w="-1" w:type="dxa"/>
            </w:tcMar>
            <w:vAlign w:val="center"/>
          </w:tcPr>
          <w:p w14:paraId="208A183E">
            <w:pPr>
              <w:pStyle w:val="28"/>
              <w:snapToGrid w:val="0"/>
              <w:spacing w:line="240" w:lineRule="auto"/>
              <w:ind w:left="0" w:leftChars="0" w:right="0" w:rightChars="0" w:firstLine="0" w:firstLineChars="0"/>
              <w:jc w:val="center"/>
              <w:rPr>
                <w:b/>
              </w:rPr>
            </w:pPr>
            <w:r>
              <w:rPr>
                <w:b/>
              </w:rPr>
              <w:t>符号</w:t>
            </w:r>
          </w:p>
        </w:tc>
        <w:tc>
          <w:tcPr>
            <w:tcW w:w="1387" w:type="dxa"/>
            <w:tcBorders>
              <w:top w:val="single" w:color="auto" w:sz="12" w:space="0"/>
              <w:left w:val="nil"/>
              <w:bottom w:val="nil"/>
              <w:right w:val="nil"/>
            </w:tcBorders>
            <w:noWrap w:val="0"/>
            <w:tcMar>
              <w:top w:w="-1" w:type="dxa"/>
              <w:left w:w="-1" w:type="dxa"/>
              <w:bottom w:w="-1" w:type="dxa"/>
              <w:right w:w="-1" w:type="dxa"/>
            </w:tcMar>
            <w:vAlign w:val="center"/>
          </w:tcPr>
          <w:p w14:paraId="5E8630B8">
            <w:pPr>
              <w:pStyle w:val="28"/>
              <w:snapToGrid w:val="0"/>
              <w:spacing w:line="240" w:lineRule="auto"/>
              <w:ind w:left="0" w:leftChars="0" w:right="0" w:rightChars="0" w:firstLine="0" w:firstLineChars="0"/>
              <w:jc w:val="center"/>
              <w:rPr>
                <w:b/>
              </w:rPr>
            </w:pPr>
            <w:r>
              <w:rPr>
                <w:b/>
              </w:rPr>
              <w:t>数值</w:t>
            </w:r>
          </w:p>
        </w:tc>
        <w:tc>
          <w:tcPr>
            <w:tcW w:w="1413" w:type="dxa"/>
            <w:tcBorders>
              <w:top w:val="single" w:color="auto" w:sz="12" w:space="0"/>
              <w:left w:val="nil"/>
              <w:bottom w:val="nil"/>
              <w:right w:val="nil"/>
            </w:tcBorders>
            <w:noWrap w:val="0"/>
            <w:tcMar>
              <w:top w:w="-1" w:type="dxa"/>
              <w:left w:w="-1" w:type="dxa"/>
              <w:bottom w:w="-1" w:type="dxa"/>
              <w:right w:w="-1" w:type="dxa"/>
            </w:tcMar>
            <w:vAlign w:val="center"/>
          </w:tcPr>
          <w:p w14:paraId="73B44241">
            <w:pPr>
              <w:pStyle w:val="28"/>
              <w:snapToGrid w:val="0"/>
              <w:spacing w:line="240" w:lineRule="auto"/>
              <w:ind w:left="0" w:leftChars="0" w:right="0" w:rightChars="0" w:firstLine="0" w:firstLineChars="0"/>
              <w:jc w:val="center"/>
              <w:rPr>
                <w:b/>
              </w:rPr>
            </w:pPr>
            <w:r>
              <w:rPr>
                <w:b/>
              </w:rPr>
              <w:t>单位</w:t>
            </w:r>
          </w:p>
        </w:tc>
      </w:tr>
      <w:tr w14:paraId="36CFE846">
        <w:tblPrEx>
          <w:tblCellMar>
            <w:top w:w="0" w:type="dxa"/>
            <w:left w:w="108" w:type="dxa"/>
            <w:bottom w:w="0" w:type="dxa"/>
            <w:right w:w="108" w:type="dxa"/>
          </w:tblCellMar>
        </w:tblPrEx>
        <w:trPr>
          <w:trHeight w:val="0" w:hRule="atLeast"/>
          <w:jc w:val="center"/>
        </w:trPr>
        <w:tc>
          <w:tcPr>
            <w:tcW w:w="3733" w:type="dxa"/>
            <w:tcBorders>
              <w:top w:val="single" w:color="auto" w:sz="4" w:space="0"/>
              <w:left w:val="nil"/>
              <w:bottom w:val="nil"/>
              <w:right w:val="nil"/>
            </w:tcBorders>
            <w:noWrap w:val="0"/>
            <w:tcMar>
              <w:top w:w="-1" w:type="dxa"/>
              <w:left w:w="-1" w:type="dxa"/>
              <w:bottom w:w="-1" w:type="dxa"/>
              <w:right w:w="-1" w:type="dxa"/>
            </w:tcMar>
            <w:vAlign w:val="center"/>
          </w:tcPr>
          <w:p w14:paraId="0B0DCF7D">
            <w:pPr>
              <w:pStyle w:val="28"/>
              <w:snapToGrid w:val="0"/>
              <w:spacing w:line="240" w:lineRule="auto"/>
              <w:ind w:left="0" w:leftChars="0" w:right="0" w:rightChars="0" w:firstLine="0" w:firstLineChars="0"/>
              <w:jc w:val="center"/>
            </w:pPr>
            <w:r>
              <w:t>满载总质量</w:t>
            </w:r>
          </w:p>
        </w:tc>
        <w:tc>
          <w:tcPr>
            <w:tcW w:w="1387" w:type="dxa"/>
            <w:tcBorders>
              <w:top w:val="single" w:color="auto" w:sz="4" w:space="0"/>
              <w:left w:val="nil"/>
              <w:bottom w:val="nil"/>
              <w:right w:val="nil"/>
            </w:tcBorders>
            <w:noWrap w:val="0"/>
            <w:tcMar>
              <w:top w:w="-1" w:type="dxa"/>
              <w:left w:w="-1" w:type="dxa"/>
              <w:bottom w:w="-1" w:type="dxa"/>
              <w:right w:w="-1" w:type="dxa"/>
            </w:tcMar>
            <w:vAlign w:val="center"/>
          </w:tcPr>
          <w:p w14:paraId="19CF4659">
            <w:pPr>
              <w:pStyle w:val="28"/>
              <w:snapToGrid w:val="0"/>
              <w:spacing w:line="240" w:lineRule="auto"/>
              <w:ind w:left="0" w:leftChars="0" w:right="0" w:rightChars="0" w:firstLine="0" w:firstLineChars="0"/>
              <w:jc w:val="left"/>
            </w:pPr>
            <m:oMathPara>
              <m:oMath>
                <m:r>
                  <m:rPr/>
                  <m:t>m</m:t>
                </m:r>
              </m:oMath>
            </m:oMathPara>
          </w:p>
        </w:tc>
        <w:tc>
          <w:tcPr>
            <w:tcW w:w="1387" w:type="dxa"/>
            <w:tcBorders>
              <w:top w:val="single" w:color="auto" w:sz="4" w:space="0"/>
              <w:left w:val="nil"/>
              <w:bottom w:val="nil"/>
              <w:right w:val="nil"/>
            </w:tcBorders>
            <w:noWrap w:val="0"/>
            <w:tcMar>
              <w:top w:w="-1" w:type="dxa"/>
              <w:left w:w="-1" w:type="dxa"/>
              <w:bottom w:w="-1" w:type="dxa"/>
              <w:right w:w="-1" w:type="dxa"/>
            </w:tcMar>
            <w:vAlign w:val="center"/>
          </w:tcPr>
          <w:p w14:paraId="2CECECF9">
            <w:pPr>
              <w:pStyle w:val="28"/>
              <w:snapToGrid w:val="0"/>
              <w:spacing w:line="240" w:lineRule="auto"/>
              <w:ind w:left="0" w:leftChars="0" w:right="0" w:rightChars="0" w:firstLine="0" w:firstLineChars="0"/>
              <w:jc w:val="left"/>
            </w:pPr>
            <w:r>
              <w:t>1500</w:t>
            </w:r>
          </w:p>
        </w:tc>
        <w:tc>
          <w:tcPr>
            <w:tcW w:w="1413" w:type="dxa"/>
            <w:tcBorders>
              <w:top w:val="single" w:color="auto" w:sz="4" w:space="0"/>
              <w:left w:val="nil"/>
              <w:bottom w:val="nil"/>
              <w:right w:val="nil"/>
            </w:tcBorders>
            <w:noWrap w:val="0"/>
            <w:tcMar>
              <w:top w:w="-1" w:type="dxa"/>
              <w:left w:w="-1" w:type="dxa"/>
              <w:bottom w:w="-1" w:type="dxa"/>
              <w:right w:w="-1" w:type="dxa"/>
            </w:tcMar>
            <w:vAlign w:val="center"/>
          </w:tcPr>
          <w:p w14:paraId="5DB887FA">
            <w:pPr>
              <w:pStyle w:val="28"/>
              <w:snapToGrid w:val="0"/>
              <w:spacing w:line="240" w:lineRule="auto"/>
              <w:ind w:left="0" w:leftChars="0" w:right="0" w:rightChars="0" w:firstLine="0" w:firstLineChars="0"/>
              <w:jc w:val="center"/>
            </w:pPr>
            <w:r>
              <w:t>kg</w:t>
            </w:r>
          </w:p>
        </w:tc>
      </w:tr>
      <w:tr w14:paraId="3CCE8818">
        <w:tblPrEx>
          <w:tblCellMar>
            <w:top w:w="0" w:type="dxa"/>
            <w:left w:w="108" w:type="dxa"/>
            <w:bottom w:w="0" w:type="dxa"/>
            <w:right w:w="108" w:type="dxa"/>
          </w:tblCellMar>
        </w:tblPrEx>
        <w:trPr>
          <w:trHeight w:val="0" w:hRule="atLeast"/>
          <w:jc w:val="center"/>
        </w:trPr>
        <w:tc>
          <w:tcPr>
            <w:tcW w:w="3733" w:type="dxa"/>
            <w:tcBorders>
              <w:top w:val="nil"/>
              <w:left w:val="nil"/>
              <w:bottom w:val="nil"/>
              <w:right w:val="nil"/>
            </w:tcBorders>
            <w:noWrap w:val="0"/>
            <w:tcMar>
              <w:top w:w="-1" w:type="dxa"/>
              <w:left w:w="-1" w:type="dxa"/>
              <w:bottom w:w="-1" w:type="dxa"/>
              <w:right w:w="-1" w:type="dxa"/>
            </w:tcMar>
            <w:vAlign w:val="center"/>
          </w:tcPr>
          <w:p w14:paraId="4190F1CB">
            <w:pPr>
              <w:pStyle w:val="28"/>
              <w:snapToGrid w:val="0"/>
              <w:spacing w:line="240" w:lineRule="auto"/>
              <w:ind w:left="0" w:leftChars="0" w:right="0" w:rightChars="0" w:firstLine="0" w:firstLineChars="0"/>
              <w:jc w:val="center"/>
            </w:pPr>
            <w:r>
              <w:t>质心高度</w:t>
            </w:r>
          </w:p>
        </w:tc>
        <w:tc>
          <w:tcPr>
            <w:tcW w:w="1387" w:type="dxa"/>
            <w:tcBorders>
              <w:top w:val="nil"/>
              <w:left w:val="nil"/>
              <w:bottom w:val="nil"/>
              <w:right w:val="nil"/>
            </w:tcBorders>
            <w:noWrap w:val="0"/>
            <w:tcMar>
              <w:top w:w="-1" w:type="dxa"/>
              <w:left w:w="-1" w:type="dxa"/>
              <w:bottom w:w="-1" w:type="dxa"/>
              <w:right w:w="-1" w:type="dxa"/>
            </w:tcMar>
            <w:vAlign w:val="center"/>
          </w:tcPr>
          <w:p w14:paraId="74CCF3DE">
            <w:pPr>
              <w:pStyle w:val="28"/>
              <w:snapToGrid w:val="0"/>
              <w:spacing w:line="240" w:lineRule="auto"/>
              <w:ind w:left="0" w:leftChars="0" w:right="0" w:rightChars="0" w:firstLine="0" w:firstLineChars="0"/>
              <w:jc w:val="left"/>
            </w:pPr>
            <m:oMathPara>
              <m:oMath>
                <m:sSub>
                  <m:sSubPr/>
                  <m:e>
                    <m:r>
                      <m:rPr/>
                      <m:t>h</m:t>
                    </m:r>
                  </m:e>
                  <m:sub>
                    <m:r>
                      <m:rPr/>
                      <m:t>g</m:t>
                    </m:r>
                  </m:sub>
                </m:sSub>
              </m:oMath>
            </m:oMathPara>
          </w:p>
        </w:tc>
        <w:tc>
          <w:tcPr>
            <w:tcW w:w="1387" w:type="dxa"/>
            <w:tcBorders>
              <w:top w:val="nil"/>
              <w:left w:val="nil"/>
              <w:bottom w:val="nil"/>
              <w:right w:val="nil"/>
            </w:tcBorders>
            <w:noWrap w:val="0"/>
            <w:tcMar>
              <w:top w:w="-1" w:type="dxa"/>
              <w:left w:w="-1" w:type="dxa"/>
              <w:bottom w:w="-1" w:type="dxa"/>
              <w:right w:w="-1" w:type="dxa"/>
            </w:tcMar>
            <w:vAlign w:val="center"/>
          </w:tcPr>
          <w:p w14:paraId="7875BC6E">
            <w:pPr>
              <w:pStyle w:val="28"/>
              <w:snapToGrid w:val="0"/>
              <w:spacing w:line="240" w:lineRule="auto"/>
              <w:ind w:left="0" w:leftChars="0" w:right="0" w:rightChars="0" w:firstLine="0" w:firstLineChars="0"/>
              <w:jc w:val="left"/>
            </w:pPr>
            <w:r>
              <w:t>550</w:t>
            </w:r>
          </w:p>
        </w:tc>
        <w:tc>
          <w:tcPr>
            <w:tcW w:w="1413" w:type="dxa"/>
            <w:tcBorders>
              <w:top w:val="nil"/>
              <w:left w:val="nil"/>
              <w:bottom w:val="nil"/>
              <w:right w:val="nil"/>
            </w:tcBorders>
            <w:noWrap w:val="0"/>
            <w:tcMar>
              <w:top w:w="-1" w:type="dxa"/>
              <w:left w:w="-1" w:type="dxa"/>
              <w:bottom w:w="-1" w:type="dxa"/>
              <w:right w:w="-1" w:type="dxa"/>
            </w:tcMar>
            <w:vAlign w:val="center"/>
          </w:tcPr>
          <w:p w14:paraId="185F6ADE">
            <w:pPr>
              <w:pStyle w:val="28"/>
              <w:snapToGrid w:val="0"/>
              <w:spacing w:line="240" w:lineRule="auto"/>
              <w:ind w:left="0" w:leftChars="0" w:right="0" w:rightChars="0" w:firstLine="0" w:firstLineChars="0"/>
              <w:jc w:val="center"/>
            </w:pPr>
            <w:r>
              <w:t>mm</w:t>
            </w:r>
          </w:p>
        </w:tc>
      </w:tr>
      <w:tr w14:paraId="43C9C9DE">
        <w:tblPrEx>
          <w:tblCellMar>
            <w:top w:w="0" w:type="dxa"/>
            <w:left w:w="108" w:type="dxa"/>
            <w:bottom w:w="0" w:type="dxa"/>
            <w:right w:w="108" w:type="dxa"/>
          </w:tblCellMar>
        </w:tblPrEx>
        <w:trPr>
          <w:trHeight w:val="0" w:hRule="atLeast"/>
          <w:jc w:val="center"/>
        </w:trPr>
        <w:tc>
          <w:tcPr>
            <w:tcW w:w="3733" w:type="dxa"/>
            <w:tcBorders>
              <w:top w:val="nil"/>
              <w:left w:val="nil"/>
              <w:bottom w:val="nil"/>
              <w:right w:val="nil"/>
            </w:tcBorders>
            <w:noWrap w:val="0"/>
            <w:tcMar>
              <w:top w:w="-1" w:type="dxa"/>
              <w:left w:w="-1" w:type="dxa"/>
              <w:bottom w:w="-1" w:type="dxa"/>
              <w:right w:w="-1" w:type="dxa"/>
            </w:tcMar>
            <w:vAlign w:val="center"/>
          </w:tcPr>
          <w:p w14:paraId="6C3778E1">
            <w:pPr>
              <w:pStyle w:val="28"/>
              <w:snapToGrid w:val="0"/>
              <w:spacing w:line="240" w:lineRule="auto"/>
              <w:ind w:left="0" w:leftChars="0" w:right="0" w:rightChars="0" w:firstLine="0" w:firstLineChars="0"/>
              <w:jc w:val="center"/>
            </w:pPr>
            <w:r>
              <w:t>轴距</w:t>
            </w:r>
          </w:p>
        </w:tc>
        <w:tc>
          <w:tcPr>
            <w:tcW w:w="1387" w:type="dxa"/>
            <w:tcBorders>
              <w:top w:val="nil"/>
              <w:left w:val="nil"/>
              <w:bottom w:val="nil"/>
              <w:right w:val="nil"/>
            </w:tcBorders>
            <w:noWrap w:val="0"/>
            <w:tcMar>
              <w:top w:w="-1" w:type="dxa"/>
              <w:left w:w="-1" w:type="dxa"/>
              <w:bottom w:w="-1" w:type="dxa"/>
              <w:right w:w="-1" w:type="dxa"/>
            </w:tcMar>
            <w:vAlign w:val="center"/>
          </w:tcPr>
          <w:p w14:paraId="300634E9">
            <w:pPr>
              <w:pStyle w:val="28"/>
              <w:snapToGrid w:val="0"/>
              <w:spacing w:line="240" w:lineRule="auto"/>
              <w:ind w:left="0" w:leftChars="0" w:right="0" w:rightChars="0" w:firstLine="0" w:firstLineChars="0"/>
              <w:jc w:val="left"/>
            </w:pPr>
            <m:oMathPara>
              <m:oMath>
                <m:r>
                  <m:rPr/>
                  <m:t>L</m:t>
                </m:r>
              </m:oMath>
            </m:oMathPara>
          </w:p>
        </w:tc>
        <w:tc>
          <w:tcPr>
            <w:tcW w:w="1387" w:type="dxa"/>
            <w:tcBorders>
              <w:top w:val="nil"/>
              <w:left w:val="nil"/>
              <w:bottom w:val="nil"/>
              <w:right w:val="nil"/>
            </w:tcBorders>
            <w:noWrap w:val="0"/>
            <w:tcMar>
              <w:top w:w="-1" w:type="dxa"/>
              <w:left w:w="-1" w:type="dxa"/>
              <w:bottom w:w="-1" w:type="dxa"/>
              <w:right w:w="-1" w:type="dxa"/>
            </w:tcMar>
            <w:vAlign w:val="center"/>
          </w:tcPr>
          <w:p w14:paraId="68F6ADE7">
            <w:pPr>
              <w:pStyle w:val="28"/>
              <w:snapToGrid w:val="0"/>
              <w:spacing w:line="240" w:lineRule="auto"/>
              <w:ind w:left="0" w:leftChars="0" w:right="0" w:rightChars="0" w:firstLine="0" w:firstLineChars="0"/>
              <w:jc w:val="left"/>
            </w:pPr>
            <w:r>
              <w:t>2600</w:t>
            </w:r>
          </w:p>
        </w:tc>
        <w:tc>
          <w:tcPr>
            <w:tcW w:w="1413" w:type="dxa"/>
            <w:tcBorders>
              <w:top w:val="nil"/>
              <w:left w:val="nil"/>
              <w:bottom w:val="nil"/>
              <w:right w:val="nil"/>
            </w:tcBorders>
            <w:noWrap w:val="0"/>
            <w:tcMar>
              <w:top w:w="-1" w:type="dxa"/>
              <w:left w:w="-1" w:type="dxa"/>
              <w:bottom w:w="-1" w:type="dxa"/>
              <w:right w:w="-1" w:type="dxa"/>
            </w:tcMar>
            <w:vAlign w:val="center"/>
          </w:tcPr>
          <w:p w14:paraId="1FBA84AB">
            <w:pPr>
              <w:pStyle w:val="28"/>
              <w:snapToGrid w:val="0"/>
              <w:spacing w:line="240" w:lineRule="auto"/>
              <w:ind w:left="0" w:leftChars="0" w:right="0" w:rightChars="0" w:firstLine="0" w:firstLineChars="0"/>
              <w:jc w:val="center"/>
            </w:pPr>
            <w:r>
              <w:t>mm</w:t>
            </w:r>
          </w:p>
        </w:tc>
      </w:tr>
      <w:tr w14:paraId="2E3D47EB">
        <w:tblPrEx>
          <w:tblCellMar>
            <w:top w:w="0" w:type="dxa"/>
            <w:left w:w="108" w:type="dxa"/>
            <w:bottom w:w="0" w:type="dxa"/>
            <w:right w:w="108" w:type="dxa"/>
          </w:tblCellMar>
        </w:tblPrEx>
        <w:trPr>
          <w:trHeight w:val="0" w:hRule="atLeast"/>
          <w:jc w:val="center"/>
        </w:trPr>
        <w:tc>
          <w:tcPr>
            <w:tcW w:w="3733" w:type="dxa"/>
            <w:tcBorders>
              <w:top w:val="nil"/>
              <w:left w:val="nil"/>
              <w:bottom w:val="nil"/>
              <w:right w:val="nil"/>
            </w:tcBorders>
            <w:noWrap w:val="0"/>
            <w:tcMar>
              <w:top w:w="-1" w:type="dxa"/>
              <w:left w:w="-1" w:type="dxa"/>
              <w:bottom w:w="-1" w:type="dxa"/>
              <w:right w:w="-1" w:type="dxa"/>
            </w:tcMar>
            <w:vAlign w:val="center"/>
          </w:tcPr>
          <w:p w14:paraId="039AE6F3">
            <w:pPr>
              <w:pStyle w:val="28"/>
              <w:snapToGrid w:val="0"/>
              <w:spacing w:line="240" w:lineRule="auto"/>
              <w:ind w:left="0" w:leftChars="0" w:right="0" w:rightChars="0" w:firstLine="0" w:firstLineChars="0"/>
              <w:jc w:val="center"/>
            </w:pPr>
            <w:r>
              <w:t>质心至前轴距离</w:t>
            </w:r>
          </w:p>
        </w:tc>
        <w:tc>
          <w:tcPr>
            <w:tcW w:w="1387" w:type="dxa"/>
            <w:tcBorders>
              <w:top w:val="nil"/>
              <w:left w:val="nil"/>
              <w:bottom w:val="nil"/>
              <w:right w:val="nil"/>
            </w:tcBorders>
            <w:noWrap w:val="0"/>
            <w:tcMar>
              <w:top w:w="-1" w:type="dxa"/>
              <w:left w:w="-1" w:type="dxa"/>
              <w:bottom w:w="-1" w:type="dxa"/>
              <w:right w:w="-1" w:type="dxa"/>
            </w:tcMar>
            <w:vAlign w:val="center"/>
          </w:tcPr>
          <w:p w14:paraId="35CEC616">
            <w:pPr>
              <w:pStyle w:val="28"/>
              <w:snapToGrid w:val="0"/>
              <w:spacing w:line="240" w:lineRule="auto"/>
              <w:ind w:left="0" w:leftChars="0" w:right="0" w:rightChars="0" w:firstLine="0" w:firstLineChars="0"/>
              <w:jc w:val="left"/>
            </w:pPr>
            <m:oMathPara>
              <m:oMath>
                <m:r>
                  <m:rPr/>
                  <m:t>a</m:t>
                </m:r>
              </m:oMath>
            </m:oMathPara>
          </w:p>
        </w:tc>
        <w:tc>
          <w:tcPr>
            <w:tcW w:w="1387" w:type="dxa"/>
            <w:tcBorders>
              <w:top w:val="nil"/>
              <w:left w:val="nil"/>
              <w:bottom w:val="nil"/>
              <w:right w:val="nil"/>
            </w:tcBorders>
            <w:noWrap w:val="0"/>
            <w:tcMar>
              <w:top w:w="-1" w:type="dxa"/>
              <w:left w:w="-1" w:type="dxa"/>
              <w:bottom w:w="-1" w:type="dxa"/>
              <w:right w:w="-1" w:type="dxa"/>
            </w:tcMar>
            <w:vAlign w:val="center"/>
          </w:tcPr>
          <w:p w14:paraId="4821ADAA">
            <w:pPr>
              <w:pStyle w:val="28"/>
              <w:snapToGrid w:val="0"/>
              <w:spacing w:line="240" w:lineRule="auto"/>
              <w:ind w:left="0" w:leftChars="0" w:right="0" w:rightChars="0" w:firstLine="0" w:firstLineChars="0"/>
              <w:jc w:val="left"/>
            </w:pPr>
            <w:r>
              <w:t>1150</w:t>
            </w:r>
          </w:p>
        </w:tc>
        <w:tc>
          <w:tcPr>
            <w:tcW w:w="1413" w:type="dxa"/>
            <w:tcBorders>
              <w:top w:val="nil"/>
              <w:left w:val="nil"/>
              <w:bottom w:val="nil"/>
              <w:right w:val="nil"/>
            </w:tcBorders>
            <w:noWrap w:val="0"/>
            <w:tcMar>
              <w:top w:w="-1" w:type="dxa"/>
              <w:left w:w="-1" w:type="dxa"/>
              <w:bottom w:w="-1" w:type="dxa"/>
              <w:right w:w="-1" w:type="dxa"/>
            </w:tcMar>
            <w:vAlign w:val="center"/>
          </w:tcPr>
          <w:p w14:paraId="5C38C7C1">
            <w:pPr>
              <w:pStyle w:val="28"/>
              <w:snapToGrid w:val="0"/>
              <w:spacing w:line="240" w:lineRule="auto"/>
              <w:ind w:left="0" w:leftChars="0" w:right="0" w:rightChars="0" w:firstLine="0" w:firstLineChars="0"/>
              <w:jc w:val="center"/>
            </w:pPr>
            <w:r>
              <w:t>mm</w:t>
            </w:r>
          </w:p>
        </w:tc>
      </w:tr>
      <w:tr w14:paraId="61F1321C">
        <w:tblPrEx>
          <w:tblCellMar>
            <w:top w:w="0" w:type="dxa"/>
            <w:left w:w="108" w:type="dxa"/>
            <w:bottom w:w="0" w:type="dxa"/>
            <w:right w:w="108" w:type="dxa"/>
          </w:tblCellMar>
        </w:tblPrEx>
        <w:trPr>
          <w:trHeight w:val="0" w:hRule="atLeast"/>
          <w:jc w:val="center"/>
        </w:trPr>
        <w:tc>
          <w:tcPr>
            <w:tcW w:w="3733" w:type="dxa"/>
            <w:tcBorders>
              <w:top w:val="nil"/>
              <w:left w:val="nil"/>
              <w:bottom w:val="nil"/>
              <w:right w:val="nil"/>
            </w:tcBorders>
            <w:noWrap w:val="0"/>
            <w:tcMar>
              <w:top w:w="-1" w:type="dxa"/>
              <w:left w:w="-1" w:type="dxa"/>
              <w:bottom w:w="-1" w:type="dxa"/>
              <w:right w:w="-1" w:type="dxa"/>
            </w:tcMar>
            <w:vAlign w:val="center"/>
          </w:tcPr>
          <w:p w14:paraId="3B64D81B">
            <w:pPr>
              <w:pStyle w:val="28"/>
              <w:snapToGrid w:val="0"/>
              <w:spacing w:line="240" w:lineRule="auto"/>
              <w:ind w:left="0" w:leftChars="0" w:right="0" w:rightChars="0" w:firstLine="0" w:firstLineChars="0"/>
              <w:jc w:val="center"/>
            </w:pPr>
            <w:r>
              <w:t>质心至后轴距离</w:t>
            </w:r>
          </w:p>
        </w:tc>
        <w:tc>
          <w:tcPr>
            <w:tcW w:w="1387" w:type="dxa"/>
            <w:tcBorders>
              <w:top w:val="nil"/>
              <w:left w:val="nil"/>
              <w:bottom w:val="nil"/>
              <w:right w:val="nil"/>
            </w:tcBorders>
            <w:noWrap w:val="0"/>
            <w:tcMar>
              <w:top w:w="-1" w:type="dxa"/>
              <w:left w:w="-1" w:type="dxa"/>
              <w:bottom w:w="-1" w:type="dxa"/>
              <w:right w:w="-1" w:type="dxa"/>
            </w:tcMar>
            <w:vAlign w:val="center"/>
          </w:tcPr>
          <w:p w14:paraId="34D28E30">
            <w:pPr>
              <w:pStyle w:val="28"/>
              <w:snapToGrid w:val="0"/>
              <w:spacing w:line="240" w:lineRule="auto"/>
              <w:ind w:left="0" w:leftChars="0" w:right="0" w:rightChars="0" w:firstLine="0" w:firstLineChars="0"/>
              <w:jc w:val="left"/>
            </w:pPr>
            <m:oMathPara>
              <m:oMath>
                <m:r>
                  <m:rPr/>
                  <m:t>b</m:t>
                </m:r>
              </m:oMath>
            </m:oMathPara>
          </w:p>
        </w:tc>
        <w:tc>
          <w:tcPr>
            <w:tcW w:w="1387" w:type="dxa"/>
            <w:tcBorders>
              <w:top w:val="nil"/>
              <w:left w:val="nil"/>
              <w:bottom w:val="nil"/>
              <w:right w:val="nil"/>
            </w:tcBorders>
            <w:noWrap w:val="0"/>
            <w:tcMar>
              <w:top w:w="-1" w:type="dxa"/>
              <w:left w:w="-1" w:type="dxa"/>
              <w:bottom w:w="-1" w:type="dxa"/>
              <w:right w:w="-1" w:type="dxa"/>
            </w:tcMar>
            <w:vAlign w:val="center"/>
          </w:tcPr>
          <w:p w14:paraId="7316ECE2">
            <w:pPr>
              <w:pStyle w:val="28"/>
              <w:snapToGrid w:val="0"/>
              <w:spacing w:line="240" w:lineRule="auto"/>
              <w:ind w:left="0" w:leftChars="0" w:right="0" w:rightChars="0" w:firstLine="0" w:firstLineChars="0"/>
              <w:jc w:val="left"/>
            </w:pPr>
            <w:r>
              <w:t>1450</w:t>
            </w:r>
          </w:p>
        </w:tc>
        <w:tc>
          <w:tcPr>
            <w:tcW w:w="1413" w:type="dxa"/>
            <w:tcBorders>
              <w:top w:val="nil"/>
              <w:left w:val="nil"/>
              <w:bottom w:val="nil"/>
              <w:right w:val="nil"/>
            </w:tcBorders>
            <w:noWrap w:val="0"/>
            <w:tcMar>
              <w:top w:w="-1" w:type="dxa"/>
              <w:left w:w="-1" w:type="dxa"/>
              <w:bottom w:w="-1" w:type="dxa"/>
              <w:right w:w="-1" w:type="dxa"/>
            </w:tcMar>
            <w:vAlign w:val="center"/>
          </w:tcPr>
          <w:p w14:paraId="2A6B584A">
            <w:pPr>
              <w:pStyle w:val="28"/>
              <w:snapToGrid w:val="0"/>
              <w:spacing w:line="240" w:lineRule="auto"/>
              <w:ind w:left="0" w:leftChars="0" w:right="0" w:rightChars="0" w:firstLine="0" w:firstLineChars="0"/>
              <w:jc w:val="center"/>
            </w:pPr>
            <w:r>
              <w:t>mm</w:t>
            </w:r>
          </w:p>
        </w:tc>
      </w:tr>
      <w:tr w14:paraId="1FD9BFCA">
        <w:tblPrEx>
          <w:tblCellMar>
            <w:top w:w="0" w:type="dxa"/>
            <w:left w:w="108" w:type="dxa"/>
            <w:bottom w:w="0" w:type="dxa"/>
            <w:right w:w="108" w:type="dxa"/>
          </w:tblCellMar>
        </w:tblPrEx>
        <w:trPr>
          <w:trHeight w:val="0" w:hRule="atLeast"/>
          <w:jc w:val="center"/>
        </w:trPr>
        <w:tc>
          <w:tcPr>
            <w:tcW w:w="3733" w:type="dxa"/>
            <w:tcBorders>
              <w:top w:val="nil"/>
              <w:left w:val="nil"/>
              <w:bottom w:val="nil"/>
              <w:right w:val="nil"/>
            </w:tcBorders>
            <w:noWrap w:val="0"/>
            <w:tcMar>
              <w:top w:w="-1" w:type="dxa"/>
              <w:left w:w="-1" w:type="dxa"/>
              <w:bottom w:w="-1" w:type="dxa"/>
              <w:right w:w="-1" w:type="dxa"/>
            </w:tcMar>
            <w:vAlign w:val="center"/>
          </w:tcPr>
          <w:p w14:paraId="74E13255">
            <w:pPr>
              <w:pStyle w:val="28"/>
              <w:snapToGrid w:val="0"/>
              <w:spacing w:line="240" w:lineRule="auto"/>
              <w:ind w:left="0" w:leftChars="0" w:right="0" w:rightChars="0" w:firstLine="0" w:firstLineChars="0"/>
              <w:jc w:val="center"/>
            </w:pPr>
            <w:r>
              <w:t>轮胎有效半径</w:t>
            </w:r>
          </w:p>
        </w:tc>
        <w:tc>
          <w:tcPr>
            <w:tcW w:w="1387" w:type="dxa"/>
            <w:tcBorders>
              <w:top w:val="nil"/>
              <w:left w:val="nil"/>
              <w:bottom w:val="nil"/>
              <w:right w:val="nil"/>
            </w:tcBorders>
            <w:noWrap w:val="0"/>
            <w:tcMar>
              <w:top w:w="-1" w:type="dxa"/>
              <w:left w:w="-1" w:type="dxa"/>
              <w:bottom w:w="-1" w:type="dxa"/>
              <w:right w:w="-1" w:type="dxa"/>
            </w:tcMar>
            <w:vAlign w:val="center"/>
          </w:tcPr>
          <w:p w14:paraId="2A58601E">
            <w:pPr>
              <w:pStyle w:val="28"/>
              <w:snapToGrid w:val="0"/>
              <w:spacing w:line="240" w:lineRule="auto"/>
              <w:ind w:left="0" w:leftChars="0" w:right="0" w:rightChars="0" w:firstLine="0" w:firstLineChars="0"/>
              <w:jc w:val="left"/>
            </w:pPr>
            <m:oMathPara>
              <m:oMath>
                <m:r>
                  <m:rPr/>
                  <m:t>r</m:t>
                </m:r>
              </m:oMath>
            </m:oMathPara>
          </w:p>
        </w:tc>
        <w:tc>
          <w:tcPr>
            <w:tcW w:w="1387" w:type="dxa"/>
            <w:tcBorders>
              <w:top w:val="nil"/>
              <w:left w:val="nil"/>
              <w:bottom w:val="nil"/>
              <w:right w:val="nil"/>
            </w:tcBorders>
            <w:noWrap w:val="0"/>
            <w:tcMar>
              <w:top w:w="-1" w:type="dxa"/>
              <w:left w:w="-1" w:type="dxa"/>
              <w:bottom w:w="-1" w:type="dxa"/>
              <w:right w:w="-1" w:type="dxa"/>
            </w:tcMar>
            <w:vAlign w:val="center"/>
          </w:tcPr>
          <w:p w14:paraId="60FEA4A5">
            <w:pPr>
              <w:pStyle w:val="28"/>
              <w:snapToGrid w:val="0"/>
              <w:spacing w:line="240" w:lineRule="auto"/>
              <w:ind w:left="0" w:leftChars="0" w:right="0" w:rightChars="0" w:firstLine="0" w:firstLineChars="0"/>
              <w:jc w:val="left"/>
            </w:pPr>
            <w:r>
              <w:t>300</w:t>
            </w:r>
          </w:p>
        </w:tc>
        <w:tc>
          <w:tcPr>
            <w:tcW w:w="1413" w:type="dxa"/>
            <w:tcBorders>
              <w:top w:val="nil"/>
              <w:left w:val="nil"/>
              <w:bottom w:val="nil"/>
              <w:right w:val="nil"/>
            </w:tcBorders>
            <w:noWrap w:val="0"/>
            <w:tcMar>
              <w:top w:w="-1" w:type="dxa"/>
              <w:left w:w="-1" w:type="dxa"/>
              <w:bottom w:w="-1" w:type="dxa"/>
              <w:right w:w="-1" w:type="dxa"/>
            </w:tcMar>
            <w:vAlign w:val="center"/>
          </w:tcPr>
          <w:p w14:paraId="4577DC7B">
            <w:pPr>
              <w:pStyle w:val="28"/>
              <w:snapToGrid w:val="0"/>
              <w:spacing w:line="240" w:lineRule="auto"/>
              <w:ind w:left="0" w:leftChars="0" w:right="0" w:rightChars="0" w:firstLine="0" w:firstLineChars="0"/>
              <w:jc w:val="center"/>
            </w:pPr>
            <w:r>
              <w:t>mm</w:t>
            </w:r>
          </w:p>
        </w:tc>
      </w:tr>
      <w:tr w14:paraId="31C1AF32">
        <w:tblPrEx>
          <w:tblCellMar>
            <w:top w:w="0" w:type="dxa"/>
            <w:left w:w="108" w:type="dxa"/>
            <w:bottom w:w="0" w:type="dxa"/>
            <w:right w:w="108" w:type="dxa"/>
          </w:tblCellMar>
        </w:tblPrEx>
        <w:trPr>
          <w:trHeight w:val="0" w:hRule="atLeast"/>
          <w:jc w:val="center"/>
        </w:trPr>
        <w:tc>
          <w:tcPr>
            <w:tcW w:w="3733" w:type="dxa"/>
            <w:tcBorders>
              <w:top w:val="nil"/>
              <w:left w:val="nil"/>
              <w:bottom w:val="nil"/>
              <w:right w:val="nil"/>
            </w:tcBorders>
            <w:noWrap w:val="0"/>
            <w:tcMar>
              <w:top w:w="-1" w:type="dxa"/>
              <w:left w:w="-1" w:type="dxa"/>
              <w:bottom w:w="-1" w:type="dxa"/>
              <w:right w:w="-1" w:type="dxa"/>
            </w:tcMar>
            <w:vAlign w:val="center"/>
          </w:tcPr>
          <w:p w14:paraId="2B6D316B">
            <w:pPr>
              <w:pStyle w:val="28"/>
              <w:snapToGrid w:val="0"/>
              <w:spacing w:line="240" w:lineRule="auto"/>
              <w:ind w:left="0" w:leftChars="0" w:right="0" w:rightChars="0" w:firstLine="0" w:firstLineChars="0"/>
              <w:jc w:val="center"/>
            </w:pPr>
            <w:r>
              <w:t>最高车速</w:t>
            </w:r>
          </w:p>
        </w:tc>
        <w:tc>
          <w:tcPr>
            <w:tcW w:w="1387" w:type="dxa"/>
            <w:tcBorders>
              <w:top w:val="nil"/>
              <w:left w:val="nil"/>
              <w:bottom w:val="nil"/>
              <w:right w:val="nil"/>
            </w:tcBorders>
            <w:noWrap w:val="0"/>
            <w:tcMar>
              <w:top w:w="-1" w:type="dxa"/>
              <w:left w:w="-1" w:type="dxa"/>
              <w:bottom w:w="-1" w:type="dxa"/>
              <w:right w:w="-1" w:type="dxa"/>
            </w:tcMar>
            <w:vAlign w:val="center"/>
          </w:tcPr>
          <w:p w14:paraId="009F76C8">
            <w:pPr>
              <w:pStyle w:val="28"/>
              <w:snapToGrid w:val="0"/>
              <w:spacing w:line="240" w:lineRule="auto"/>
              <w:ind w:left="0" w:leftChars="0" w:right="0" w:rightChars="0" w:firstLine="0" w:firstLineChars="0"/>
              <w:jc w:val="left"/>
            </w:pPr>
            <m:oMathPara>
              <m:oMath>
                <m:sSub>
                  <m:sSubPr/>
                  <m:e>
                    <m:r>
                      <m:rPr/>
                      <m:t>v</m:t>
                    </m:r>
                  </m:e>
                  <m:sub>
                    <m:r>
                      <m:rPr/>
                      <m:t>max</m:t>
                    </m:r>
                  </m:sub>
                </m:sSub>
              </m:oMath>
            </m:oMathPara>
          </w:p>
        </w:tc>
        <w:tc>
          <w:tcPr>
            <w:tcW w:w="1387" w:type="dxa"/>
            <w:tcBorders>
              <w:top w:val="nil"/>
              <w:left w:val="nil"/>
              <w:bottom w:val="nil"/>
              <w:right w:val="nil"/>
            </w:tcBorders>
            <w:noWrap w:val="0"/>
            <w:tcMar>
              <w:top w:w="-1" w:type="dxa"/>
              <w:left w:w="-1" w:type="dxa"/>
              <w:bottom w:w="-1" w:type="dxa"/>
              <w:right w:w="-1" w:type="dxa"/>
            </w:tcMar>
            <w:vAlign w:val="center"/>
          </w:tcPr>
          <w:p w14:paraId="22F52FD5">
            <w:pPr>
              <w:pStyle w:val="28"/>
              <w:snapToGrid w:val="0"/>
              <w:spacing w:line="240" w:lineRule="auto"/>
              <w:ind w:left="0" w:leftChars="0" w:right="0" w:rightChars="0" w:firstLine="0" w:firstLineChars="0"/>
              <w:jc w:val="left"/>
            </w:pPr>
            <w:r>
              <w:t>180</w:t>
            </w:r>
          </w:p>
        </w:tc>
        <w:tc>
          <w:tcPr>
            <w:tcW w:w="1413" w:type="dxa"/>
            <w:tcBorders>
              <w:top w:val="nil"/>
              <w:left w:val="nil"/>
              <w:bottom w:val="nil"/>
              <w:right w:val="nil"/>
            </w:tcBorders>
            <w:noWrap w:val="0"/>
            <w:tcMar>
              <w:top w:w="-1" w:type="dxa"/>
              <w:left w:w="-1" w:type="dxa"/>
              <w:bottom w:w="-1" w:type="dxa"/>
              <w:right w:w="-1" w:type="dxa"/>
            </w:tcMar>
            <w:vAlign w:val="center"/>
          </w:tcPr>
          <w:p w14:paraId="75A1D12E">
            <w:pPr>
              <w:pStyle w:val="28"/>
              <w:snapToGrid w:val="0"/>
              <w:spacing w:line="240" w:lineRule="auto"/>
              <w:ind w:left="0" w:leftChars="0" w:right="0" w:rightChars="0" w:firstLine="0" w:firstLineChars="0"/>
              <w:jc w:val="center"/>
            </w:pPr>
            <w:r>
              <w:t>km/h</w:t>
            </w:r>
          </w:p>
        </w:tc>
      </w:tr>
      <w:tr w14:paraId="5934D3EE">
        <w:tblPrEx>
          <w:tblCellMar>
            <w:top w:w="0" w:type="dxa"/>
            <w:left w:w="108" w:type="dxa"/>
            <w:bottom w:w="0" w:type="dxa"/>
            <w:right w:w="108" w:type="dxa"/>
          </w:tblCellMar>
        </w:tblPrEx>
        <w:trPr>
          <w:trHeight w:val="0" w:hRule="atLeast"/>
          <w:jc w:val="center"/>
        </w:trPr>
        <w:tc>
          <w:tcPr>
            <w:tcW w:w="3733" w:type="dxa"/>
            <w:tcBorders>
              <w:top w:val="nil"/>
              <w:left w:val="nil"/>
              <w:bottom w:val="single" w:color="auto" w:sz="12" w:space="0"/>
              <w:right w:val="nil"/>
            </w:tcBorders>
            <w:noWrap w:val="0"/>
            <w:tcMar>
              <w:top w:w="-1" w:type="dxa"/>
              <w:left w:w="-1" w:type="dxa"/>
              <w:bottom w:w="-1" w:type="dxa"/>
              <w:right w:w="-1" w:type="dxa"/>
            </w:tcMar>
            <w:vAlign w:val="center"/>
          </w:tcPr>
          <w:p w14:paraId="24FBA1FA">
            <w:pPr>
              <w:pStyle w:val="28"/>
              <w:snapToGrid w:val="0"/>
              <w:spacing w:line="240" w:lineRule="auto"/>
              <w:ind w:left="0" w:leftChars="0" w:right="0" w:rightChars="0" w:firstLine="0" w:firstLineChars="0"/>
              <w:jc w:val="center"/>
            </w:pPr>
            <w:r>
              <w:t>同步附着系数</w:t>
            </w:r>
          </w:p>
        </w:tc>
        <w:tc>
          <w:tcPr>
            <w:tcW w:w="1387" w:type="dxa"/>
            <w:tcBorders>
              <w:top w:val="nil"/>
              <w:left w:val="nil"/>
              <w:bottom w:val="single" w:color="auto" w:sz="12" w:space="0"/>
              <w:right w:val="nil"/>
            </w:tcBorders>
            <w:noWrap w:val="0"/>
            <w:tcMar>
              <w:top w:w="-1" w:type="dxa"/>
              <w:left w:w="-1" w:type="dxa"/>
              <w:bottom w:w="-1" w:type="dxa"/>
              <w:right w:w="-1" w:type="dxa"/>
            </w:tcMar>
            <w:vAlign w:val="center"/>
          </w:tcPr>
          <w:p w14:paraId="1F4ECEDD">
            <w:pPr>
              <w:pStyle w:val="28"/>
              <w:snapToGrid w:val="0"/>
              <w:spacing w:line="240" w:lineRule="auto"/>
              <w:ind w:left="0" w:leftChars="0" w:right="0" w:rightChars="0" w:firstLine="0" w:firstLineChars="0"/>
              <w:jc w:val="left"/>
            </w:pPr>
            <m:oMathPara>
              <m:oMath>
                <m:sSub>
                  <m:sSubPr/>
                  <m:e>
                    <m:r>
                      <m:rPr/>
                      <m:t>ϕ</m:t>
                    </m:r>
                  </m:e>
                  <m:sub>
                    <m:r>
                      <m:rPr/>
                      <m:t>0</m:t>
                    </m:r>
                  </m:sub>
                </m:sSub>
              </m:oMath>
            </m:oMathPara>
          </w:p>
        </w:tc>
        <w:tc>
          <w:tcPr>
            <w:tcW w:w="1387" w:type="dxa"/>
            <w:tcBorders>
              <w:top w:val="nil"/>
              <w:left w:val="nil"/>
              <w:bottom w:val="single" w:color="auto" w:sz="12" w:space="0"/>
              <w:right w:val="nil"/>
            </w:tcBorders>
            <w:noWrap w:val="0"/>
            <w:tcMar>
              <w:top w:w="-1" w:type="dxa"/>
              <w:left w:w="-1" w:type="dxa"/>
              <w:bottom w:w="-1" w:type="dxa"/>
              <w:right w:w="-1" w:type="dxa"/>
            </w:tcMar>
            <w:vAlign w:val="center"/>
          </w:tcPr>
          <w:p w14:paraId="38D810CF">
            <w:pPr>
              <w:pStyle w:val="28"/>
              <w:snapToGrid w:val="0"/>
              <w:spacing w:line="240" w:lineRule="auto"/>
              <w:ind w:left="0" w:leftChars="0" w:right="0" w:rightChars="0" w:firstLine="0" w:firstLineChars="0"/>
              <w:jc w:val="left"/>
            </w:pPr>
            <w:r>
              <w:t>0.7</w:t>
            </w:r>
          </w:p>
        </w:tc>
        <w:tc>
          <w:tcPr>
            <w:tcW w:w="1413" w:type="dxa"/>
            <w:tcBorders>
              <w:top w:val="nil"/>
              <w:left w:val="nil"/>
              <w:bottom w:val="single" w:color="auto" w:sz="12" w:space="0"/>
              <w:right w:val="nil"/>
            </w:tcBorders>
            <w:noWrap w:val="0"/>
            <w:tcMar>
              <w:top w:w="-1" w:type="dxa"/>
              <w:left w:w="-1" w:type="dxa"/>
              <w:bottom w:w="-1" w:type="dxa"/>
              <w:right w:w="-1" w:type="dxa"/>
            </w:tcMar>
            <w:vAlign w:val="center"/>
          </w:tcPr>
          <w:p w14:paraId="6E1FFAF0">
            <w:pPr>
              <w:pStyle w:val="28"/>
              <w:snapToGrid w:val="0"/>
              <w:spacing w:line="240" w:lineRule="auto"/>
              <w:ind w:left="0" w:leftChars="0" w:right="0" w:rightChars="0" w:firstLine="0" w:firstLineChars="0"/>
              <w:jc w:val="center"/>
            </w:pPr>
            <w:r>
              <w:t>-</w:t>
            </w:r>
          </w:p>
        </w:tc>
      </w:tr>
      <w:bookmarkEnd w:id="31"/>
    </w:tbl>
    <w:p w14:paraId="129AB283">
      <w:pPr>
        <w:pStyle w:val="5"/>
        <w:numPr>
          <w:ilvl w:val="0"/>
          <w:numId w:val="9"/>
        </w:numPr>
        <w:ind w:left="0" w:leftChars="0" w:firstLine="0" w:firstLineChars="0"/>
        <w:rPr>
          <w:b w:val="0"/>
          <w:bdr w:val="none" w:sz="0" w:space="0"/>
        </w:rPr>
      </w:pPr>
      <w:bookmarkStart w:id="32" w:name="_Toc12180"/>
      <w:bookmarkStart w:id="33" w:name="制动力矩计算"/>
      <w:r>
        <w:t>制动力矩计算</w:t>
      </w:r>
      <w:bookmarkEnd w:id="32"/>
    </w:p>
    <w:p w14:paraId="29DD777A">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为了满足车辆的制动需求，制动器必须能够产生足够的制动力矩。前轴制动力矩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T</m:t>
            </m:r>
            <m:ctrlPr>
              <w:rPr>
                <w:rFonts w:ascii="Cambria Math" w:hAnsi="Cambria Math" w:eastAsia="宋体" w:cs="Times New Roman"/>
                <w:sz w:val="24"/>
                <w:szCs w:val="24"/>
              </w:rPr>
            </m:ctrlPr>
          </m:e>
          <m:sub>
            <m:r>
              <w:rPr>
                <w:rFonts w:ascii="Times New Roman" w:hAnsi="Times New Roman" w:eastAsia="宋体" w:cs="Times New Roman"/>
                <w:sz w:val="24"/>
                <w:szCs w:val="24"/>
              </w:rPr>
              <m:t>f</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的计算公式如下：</w:t>
      </w:r>
    </w:p>
    <w:p w14:paraId="2B09F3C3">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T</m:t>
              </m:r>
              <m:ctrlPr>
                <w:rPr>
                  <w:rFonts w:ascii="Cambria Math" w:hAnsi="Cambria Math" w:eastAsia="宋体" w:cs="Times New Roman"/>
                  <w:sz w:val="24"/>
                  <w:szCs w:val="24"/>
                </w:rPr>
              </m:ctrlPr>
            </m:e>
            <m:sub>
              <m:r>
                <w:rPr>
                  <w:rFonts w:ascii="Times New Roman" w:hAnsi="Times New Roman" w:eastAsia="宋体" w:cs="Times New Roman"/>
                  <w:sz w:val="24"/>
                  <w:szCs w:val="24"/>
                </w:rPr>
                <m:t>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F</m:t>
              </m:r>
              <m:ctrlPr>
                <w:rPr>
                  <w:rFonts w:ascii="Cambria Math" w:hAnsi="Cambria Math" w:eastAsia="宋体" w:cs="Times New Roman"/>
                  <w:sz w:val="24"/>
                  <w:szCs w:val="24"/>
                </w:rPr>
              </m:ctrlPr>
            </m:e>
            <m:sub>
              <m:r>
                <w:rPr>
                  <w:rFonts w:ascii="Times New Roman" w:hAnsi="Times New Roman" w:eastAsia="宋体" w:cs="Times New Roman"/>
                  <w:sz w:val="24"/>
                  <w:szCs w:val="24"/>
                </w:rPr>
                <m:t>μf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r</m:t>
          </m:r>
        </m:oMath>
      </m:oMathPara>
    </w:p>
    <w:p w14:paraId="509B4654">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T</m:t>
            </m:r>
            <m:ctrlPr>
              <w:rPr>
                <w:rFonts w:ascii="Cambria Math" w:hAnsi="Cambria Math" w:eastAsia="宋体" w:cs="Times New Roman"/>
                <w:sz w:val="24"/>
                <w:szCs w:val="24"/>
              </w:rPr>
            </m:ctrlPr>
          </m:e>
          <m:sub>
            <m:r>
              <w:rPr>
                <w:rFonts w:ascii="Times New Roman" w:hAnsi="Times New Roman" w:eastAsia="宋体" w:cs="Times New Roman"/>
                <w:sz w:val="24"/>
                <w:szCs w:val="24"/>
              </w:rPr>
              <m:t>f</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为前轴制动力矩（N·m）；</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F</m:t>
            </m:r>
            <m:ctrlPr>
              <w:rPr>
                <w:rFonts w:ascii="Cambria Math" w:hAnsi="Cambria Math" w:eastAsia="宋体" w:cs="Times New Roman"/>
                <w:sz w:val="24"/>
                <w:szCs w:val="24"/>
              </w:rPr>
            </m:ctrlPr>
          </m:e>
          <m:sub>
            <m:r>
              <w:rPr>
                <w:rFonts w:ascii="Times New Roman" w:hAnsi="Times New Roman" w:eastAsia="宋体" w:cs="Times New Roman"/>
                <w:sz w:val="24"/>
                <w:szCs w:val="24"/>
              </w:rPr>
              <m:t>μf</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为前轴制动力（N）；</w:t>
      </w:r>
      <m:oMath>
        <m:r>
          <w:rPr>
            <w:rFonts w:ascii="Times New Roman" w:hAnsi="Times New Roman" w:eastAsia="宋体" w:cs="Times New Roman"/>
            <w:sz w:val="24"/>
            <w:szCs w:val="24"/>
          </w:rPr>
          <m:t>r</m:t>
        </m:r>
      </m:oMath>
      <w:r>
        <w:rPr>
          <w:rFonts w:ascii="Times New Roman" w:hAnsi="Times New Roman" w:eastAsia="宋体" w:cs="Times New Roman"/>
          <w:sz w:val="24"/>
          <w:szCs w:val="24"/>
        </w:rPr>
        <w:t xml:space="preserve"> 为轮胎有效半径（m）。</w:t>
      </w:r>
    </w:p>
    <w:p w14:paraId="7170215A">
      <w:pPr>
        <w:pStyle w:val="3"/>
        <w:rPr>
          <w:rFonts w:ascii="Times New Roman" w:hAnsi="Times New Roman" w:eastAsia="宋体" w:cs="Times New Roman"/>
          <w:sz w:val="24"/>
          <w:szCs w:val="24"/>
        </w:rPr>
      </w:pPr>
      <w:r>
        <w:rPr>
          <w:rFonts w:ascii="Times New Roman" w:hAnsi="Times New Roman" w:eastAsia="宋体" w:cs="Times New Roman"/>
          <w:sz w:val="24"/>
          <w:szCs w:val="24"/>
        </w:rPr>
        <w:t>根据同步附着系数和整车受力分析，前轴制动力可由下式计算：</w:t>
      </w:r>
    </w:p>
    <w:p w14:paraId="69B546EB">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F</m:t>
              </m:r>
              <m:ctrlPr>
                <w:rPr>
                  <w:rFonts w:ascii="Cambria Math" w:hAnsi="Cambria Math" w:eastAsia="宋体" w:cs="Times New Roman"/>
                  <w:sz w:val="24"/>
                  <w:szCs w:val="24"/>
                </w:rPr>
              </m:ctrlPr>
            </m:e>
            <m:sub>
              <m:r>
                <w:rPr>
                  <w:rFonts w:ascii="Times New Roman" w:hAnsi="Times New Roman" w:eastAsia="宋体" w:cs="Times New Roman"/>
                  <w:sz w:val="24"/>
                  <w:szCs w:val="24"/>
                </w:rPr>
                <m:t>μf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G</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ϕ</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L</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r>
                <w:rPr>
                  <w:rFonts w:ascii="Times New Roman" w:hAnsi="Times New Roman" w:eastAsia="宋体" w:cs="Times New Roman"/>
                  <w:sz w:val="24"/>
                  <w:szCs w:val="24"/>
                </w:rPr>
                <m:t>b</m:t>
              </m:r>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ϕ</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h</m:t>
                  </m:r>
                  <m:ctrlPr>
                    <w:rPr>
                      <w:rFonts w:ascii="Cambria Math" w:hAnsi="Cambria Math" w:eastAsia="宋体" w:cs="Times New Roman"/>
                      <w:sz w:val="24"/>
                      <w:szCs w:val="24"/>
                    </w:rPr>
                  </m:ctrlPr>
                </m:e>
                <m:sub>
                  <m:r>
                    <w:rPr>
                      <w:rFonts w:ascii="Times New Roman" w:hAnsi="Times New Roman" w:eastAsia="宋体" w:cs="Times New Roman"/>
                      <w:sz w:val="24"/>
                      <w:szCs w:val="24"/>
                    </w:rPr>
                    <m:t>g</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d>
        </m:oMath>
      </m:oMathPara>
    </w:p>
    <w:p w14:paraId="2C569D07">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w:rPr>
            <w:rFonts w:ascii="Times New Roman" w:hAnsi="Times New Roman" w:eastAsia="宋体" w:cs="Times New Roman"/>
            <w:sz w:val="24"/>
            <w:szCs w:val="24"/>
          </w:rPr>
          <m:t>G</m:t>
        </m:r>
      </m:oMath>
      <w:r>
        <w:rPr>
          <w:rFonts w:ascii="Times New Roman" w:hAnsi="Times New Roman" w:eastAsia="宋体" w:cs="Times New Roman"/>
          <w:sz w:val="24"/>
          <w:szCs w:val="24"/>
        </w:rPr>
        <w:t xml:space="preserve"> 为车辆满载重力（N）；</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ϕ</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为同步附着系数；</w:t>
      </w:r>
      <m:oMath>
        <m:r>
          <w:rPr>
            <w:rFonts w:ascii="Times New Roman" w:hAnsi="Times New Roman" w:eastAsia="宋体" w:cs="Times New Roman"/>
            <w:sz w:val="24"/>
            <w:szCs w:val="24"/>
          </w:rPr>
          <m:t>L</m:t>
        </m:r>
      </m:oMath>
      <w:r>
        <w:rPr>
          <w:rFonts w:ascii="Times New Roman" w:hAnsi="Times New Roman" w:eastAsia="宋体" w:cs="Times New Roman"/>
          <w:sz w:val="24"/>
          <w:szCs w:val="24"/>
        </w:rPr>
        <w:t xml:space="preserve"> 为轴距（mm）；</w:t>
      </w:r>
      <m:oMath>
        <m:r>
          <w:rPr>
            <w:rFonts w:ascii="Times New Roman" w:hAnsi="Times New Roman" w:eastAsia="宋体" w:cs="Times New Roman"/>
            <w:sz w:val="24"/>
            <w:szCs w:val="24"/>
          </w:rPr>
          <m:t>b</m:t>
        </m:r>
      </m:oMath>
      <w:r>
        <w:rPr>
          <w:rFonts w:ascii="Times New Roman" w:hAnsi="Times New Roman" w:eastAsia="宋体" w:cs="Times New Roman"/>
          <w:sz w:val="24"/>
          <w:szCs w:val="24"/>
        </w:rPr>
        <w:t xml:space="preserve"> 为质心至后轴距离（mm）；</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h</m:t>
            </m:r>
            <m:ctrlPr>
              <w:rPr>
                <w:rFonts w:ascii="Cambria Math" w:hAnsi="Cambria Math" w:eastAsia="宋体" w:cs="Times New Roman"/>
                <w:sz w:val="24"/>
                <w:szCs w:val="24"/>
              </w:rPr>
            </m:ctrlPr>
          </m:e>
          <m:sub>
            <m:r>
              <w:rPr>
                <w:rFonts w:ascii="Times New Roman" w:hAnsi="Times New Roman" w:eastAsia="宋体" w:cs="Times New Roman"/>
                <w:sz w:val="24"/>
                <w:szCs w:val="24"/>
              </w:rPr>
              <m:t>g</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为质心高度（mm）。</w:t>
      </w:r>
    </w:p>
    <w:p w14:paraId="497A19C6">
      <w:pPr>
        <w:pStyle w:val="3"/>
        <w:rPr>
          <w:rFonts w:ascii="Times New Roman" w:hAnsi="Times New Roman" w:eastAsia="宋体" w:cs="Times New Roman"/>
          <w:sz w:val="24"/>
          <w:szCs w:val="24"/>
        </w:rPr>
      </w:pPr>
      <w:r>
        <w:rPr>
          <w:rFonts w:ascii="Times New Roman" w:hAnsi="Times New Roman" w:eastAsia="宋体" w:cs="Times New Roman"/>
          <w:sz w:val="24"/>
          <w:szCs w:val="24"/>
        </w:rPr>
        <w:t>车辆满载重力为：</w:t>
      </w:r>
    </w:p>
    <w:p w14:paraId="7B8BC0A5">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G</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m</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g</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1500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9.81</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14715 </m:t>
          </m:r>
          <m:r>
            <m:rPr>
              <m:nor/>
              <m:sty m:val="p"/>
            </m:rPr>
            <w:rPr>
              <w:rFonts w:ascii="Times New Roman" w:hAnsi="Times New Roman" w:eastAsia="宋体" w:cs="Times New Roman"/>
              <w:b w:val="0"/>
              <w:i w:val="0"/>
              <w:sz w:val="24"/>
              <w:szCs w:val="24"/>
            </w:rPr>
            <m:t>N</m:t>
          </m:r>
        </m:oMath>
      </m:oMathPara>
    </w:p>
    <w:p w14:paraId="2B15CF53">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w:rPr>
            <w:rFonts w:ascii="Times New Roman" w:hAnsi="Times New Roman" w:eastAsia="宋体" w:cs="Times New Roman"/>
            <w:sz w:val="24"/>
            <w:szCs w:val="24"/>
          </w:rPr>
          <m:t>m</m:t>
        </m:r>
      </m:oMath>
      <w:r>
        <w:rPr>
          <w:rFonts w:ascii="Times New Roman" w:hAnsi="Times New Roman" w:eastAsia="宋体" w:cs="Times New Roman"/>
          <w:sz w:val="24"/>
          <w:szCs w:val="24"/>
        </w:rPr>
        <w:t xml:space="preserve"> 为满载总质量（kg）；</w:t>
      </w:r>
      <m:oMath>
        <m:r>
          <w:rPr>
            <w:rFonts w:ascii="Times New Roman" w:hAnsi="Times New Roman" w:eastAsia="宋体" w:cs="Times New Roman"/>
            <w:sz w:val="24"/>
            <w:szCs w:val="24"/>
          </w:rPr>
          <m:t>g</m:t>
        </m:r>
      </m:oMath>
      <w:r>
        <w:rPr>
          <w:rFonts w:ascii="Times New Roman" w:hAnsi="Times New Roman" w:eastAsia="宋体" w:cs="Times New Roman"/>
          <w:sz w:val="24"/>
          <w:szCs w:val="24"/>
        </w:rPr>
        <w:t xml:space="preserve"> 为重力加速度，取 </w:t>
      </w:r>
      <m:oMath>
        <m:r>
          <w:rPr>
            <w:rFonts w:ascii="Times New Roman" w:hAnsi="Times New Roman" w:eastAsia="宋体" w:cs="Times New Roman"/>
            <w:sz w:val="24"/>
            <w:szCs w:val="24"/>
          </w:rPr>
          <m:t>9.81 </m:t>
        </m:r>
        <m:sSup>
          <m:sSupPr>
            <m:ctrlPr>
              <w:rPr>
                <w:rFonts w:ascii="Cambria Math" w:hAnsi="Cambria Math" w:eastAsia="宋体" w:cs="Times New Roman"/>
                <w:sz w:val="24"/>
                <w:szCs w:val="24"/>
              </w:rPr>
            </m:ctrlPr>
          </m:sSupPr>
          <m:e>
            <m:r>
              <m:rPr>
                <m:nor/>
                <m:sty m:val="p"/>
              </m:rPr>
              <w:rPr>
                <w:rFonts w:ascii="Times New Roman" w:hAnsi="Times New Roman" w:eastAsia="宋体" w:cs="Times New Roman"/>
                <w:b w:val="0"/>
                <w:i w:val="0"/>
                <w:sz w:val="24"/>
                <w:szCs w:val="24"/>
              </w:rPr>
              <m:t>m/s</m:t>
            </m:r>
            <m:ctrlPr>
              <w:rPr>
                <w:rFonts w:ascii="Cambria Math" w:hAnsi="Cambria Math" w:eastAsia="宋体" w:cs="Times New Roman"/>
                <w:sz w:val="24"/>
                <w:szCs w:val="24"/>
              </w:rPr>
            </m:ctrlPr>
          </m:e>
          <m:sup>
            <m:r>
              <w:rPr>
                <w:rFonts w:ascii="Times New Roman" w:hAnsi="Times New Roman" w:eastAsia="宋体" w:cs="Times New Roman"/>
                <w:sz w:val="24"/>
                <w:szCs w:val="24"/>
              </w:rPr>
              <m:t>2</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w:t>
      </w:r>
    </w:p>
    <w:p w14:paraId="257A2954">
      <w:pPr>
        <w:pStyle w:val="3"/>
        <w:rPr>
          <w:rFonts w:ascii="Times New Roman" w:hAnsi="Times New Roman" w:eastAsia="宋体" w:cs="Times New Roman"/>
          <w:sz w:val="24"/>
          <w:szCs w:val="24"/>
        </w:rPr>
      </w:pPr>
      <w:r>
        <w:rPr>
          <w:rFonts w:ascii="Times New Roman" w:hAnsi="Times New Roman" w:eastAsia="宋体" w:cs="Times New Roman"/>
          <w:sz w:val="24"/>
          <w:szCs w:val="24"/>
        </w:rPr>
        <w:t>将参数代入前轴制动力公式：</w:t>
      </w:r>
    </w:p>
    <w:p w14:paraId="5643E48C">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F</m:t>
              </m:r>
              <m:ctrlPr>
                <w:rPr>
                  <w:rFonts w:ascii="Cambria Math" w:hAnsi="Cambria Math" w:eastAsia="宋体" w:cs="Times New Roman"/>
                  <w:sz w:val="24"/>
                  <w:szCs w:val="24"/>
                </w:rPr>
              </m:ctrlPr>
            </m:e>
            <m:sub>
              <m:r>
                <w:rPr>
                  <w:rFonts w:ascii="Times New Roman" w:hAnsi="Times New Roman" w:eastAsia="宋体" w:cs="Times New Roman"/>
                  <w:sz w:val="24"/>
                  <w:szCs w:val="24"/>
                </w:rPr>
                <m:t>μf</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14715</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0.7</m:t>
              </m:r>
              <m:ctrlPr>
                <w:rPr>
                  <w:rFonts w:ascii="Cambria Math" w:hAnsi="Cambria Math" w:eastAsia="宋体" w:cs="Times New Roman"/>
                  <w:sz w:val="24"/>
                  <w:szCs w:val="24"/>
                </w:rPr>
              </m:ctrlPr>
            </m:num>
            <m:den>
              <m:r>
                <w:rPr>
                  <w:rFonts w:ascii="Times New Roman" w:hAnsi="Times New Roman" w:eastAsia="宋体" w:cs="Times New Roman"/>
                  <w:sz w:val="24"/>
                  <w:szCs w:val="24"/>
                </w:rPr>
                <m:t>2600</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d>
            <m:dPr>
              <m:sepChr m:val=""/>
              <m:ctrlPr>
                <w:rPr>
                  <w:rFonts w:ascii="Cambria Math" w:hAnsi="Cambria Math" w:eastAsia="宋体" w:cs="Times New Roman"/>
                  <w:sz w:val="24"/>
                  <w:szCs w:val="24"/>
                </w:rPr>
              </m:ctrlPr>
            </m:dPr>
            <m:e>
              <m:r>
                <w:rPr>
                  <w:rFonts w:ascii="Times New Roman" w:hAnsi="Times New Roman" w:eastAsia="宋体" w:cs="Times New Roman"/>
                  <w:sz w:val="24"/>
                  <w:szCs w:val="24"/>
                </w:rPr>
                <m:t>1450</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0.7</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550</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7268 </m:t>
          </m:r>
          <m:r>
            <m:rPr>
              <m:nor/>
              <m:sty m:val="p"/>
            </m:rPr>
            <w:rPr>
              <w:rFonts w:ascii="Times New Roman" w:hAnsi="Times New Roman" w:eastAsia="宋体" w:cs="Times New Roman"/>
              <w:b w:val="0"/>
              <w:i w:val="0"/>
              <w:sz w:val="24"/>
              <w:szCs w:val="24"/>
            </w:rPr>
            <m:t>N</m:t>
          </m:r>
        </m:oMath>
      </m:oMathPara>
    </w:p>
    <w:p w14:paraId="79945F3D">
      <w:pPr>
        <w:pStyle w:val="3"/>
        <w:rPr>
          <w:rFonts w:ascii="Times New Roman" w:hAnsi="Times New Roman" w:eastAsia="宋体" w:cs="Times New Roman"/>
          <w:sz w:val="24"/>
          <w:szCs w:val="24"/>
        </w:rPr>
      </w:pPr>
      <w:r>
        <w:rPr>
          <w:rFonts w:ascii="Times New Roman" w:hAnsi="Times New Roman" w:eastAsia="宋体" w:cs="Times New Roman"/>
          <w:sz w:val="24"/>
          <w:szCs w:val="24"/>
        </w:rPr>
        <w:t>由于前轴有两个车轮，单侧前轮所需制动力矩为：</w:t>
      </w:r>
    </w:p>
    <w:p w14:paraId="54442689">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T</m:t>
              </m:r>
              <m:ctrlPr>
                <w:rPr>
                  <w:rFonts w:ascii="Cambria Math" w:hAnsi="Cambria Math" w:eastAsia="宋体" w:cs="Times New Roman"/>
                  <w:sz w:val="24"/>
                  <w:szCs w:val="24"/>
                </w:rPr>
              </m:ctrlPr>
            </m:e>
            <m:sub>
              <m:r>
                <w:rPr>
                  <w:rFonts w:ascii="Times New Roman" w:hAnsi="Times New Roman" w:eastAsia="宋体" w:cs="Times New Roman"/>
                  <w:sz w:val="24"/>
                  <w:szCs w:val="24"/>
                </w:rPr>
                <m:t>μ</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F</m:t>
                  </m:r>
                  <m:ctrlPr>
                    <w:rPr>
                      <w:rFonts w:ascii="Cambria Math" w:hAnsi="Cambria Math" w:eastAsia="宋体" w:cs="Times New Roman"/>
                      <w:sz w:val="24"/>
                      <w:szCs w:val="24"/>
                    </w:rPr>
                  </m:ctrlPr>
                </m:e>
                <m:sub>
                  <m:r>
                    <w:rPr>
                      <w:rFonts w:ascii="Times New Roman" w:hAnsi="Times New Roman" w:eastAsia="宋体" w:cs="Times New Roman"/>
                      <w:sz w:val="24"/>
                      <w:szCs w:val="24"/>
                    </w:rPr>
                    <m:t>μf</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r</m:t>
          </m:r>
          <m:r>
            <m:rPr>
              <m:sty m:val="p"/>
            </m:rPr>
            <w:rPr>
              <w:rFonts w:ascii="Times New Roman" w:hAnsi="Times New Roman" w:eastAsia="宋体" w:cs="Times New Roman"/>
              <w:sz w:val="24"/>
              <w:szCs w:val="24"/>
            </w:rPr>
            <m:t>=</m:t>
          </m:r>
          <m:f>
            <m:fPr>
              <m:ctrlPr>
                <w:rPr>
                  <w:rFonts w:ascii="Cambria Math" w:hAnsi="Cambria Math" w:eastAsia="宋体" w:cs="Times New Roman"/>
                  <w:sz w:val="24"/>
                  <w:szCs w:val="24"/>
                </w:rPr>
              </m:ctrlPr>
            </m:fPr>
            <m:num>
              <m:r>
                <w:rPr>
                  <w:rFonts w:ascii="Times New Roman" w:hAnsi="Times New Roman" w:eastAsia="宋体" w:cs="Times New Roman"/>
                  <w:sz w:val="24"/>
                  <w:szCs w:val="24"/>
                </w:rPr>
                <m:t>7268</m:t>
              </m:r>
              <m:ctrlPr>
                <w:rPr>
                  <w:rFonts w:ascii="Cambria Math" w:hAnsi="Cambria Math" w:eastAsia="宋体" w:cs="Times New Roman"/>
                  <w:sz w:val="24"/>
                  <w:szCs w:val="24"/>
                </w:rPr>
              </m:ctrlPr>
            </m:num>
            <m:den>
              <m:r>
                <w:rPr>
                  <w:rFonts w:ascii="Times New Roman" w:hAnsi="Times New Roman" w:eastAsia="宋体" w:cs="Times New Roman"/>
                  <w:sz w:val="24"/>
                  <w:szCs w:val="24"/>
                </w:rPr>
                <m:t>2</m:t>
              </m:r>
              <m:ctrlPr>
                <w:rPr>
                  <w:rFonts w:ascii="Cambria Math" w:hAnsi="Cambria Math" w:eastAsia="宋体" w:cs="Times New Roman"/>
                  <w:sz w:val="24"/>
                  <w:szCs w:val="24"/>
                </w:rPr>
              </m:ctrlPr>
            </m:den>
          </m:f>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0.3</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1090 </m:t>
          </m:r>
          <m:r>
            <m:rPr>
              <m:nor/>
              <m:sty m:val="p"/>
            </m:rPr>
            <w:rPr>
              <w:rFonts w:ascii="Times New Roman" w:hAnsi="Times New Roman" w:eastAsia="宋体" w:cs="Times New Roman"/>
              <w:b w:val="0"/>
              <w:i w:val="0"/>
              <w:sz w:val="24"/>
              <w:szCs w:val="24"/>
            </w:rPr>
            <m:t>N</m:t>
          </m:r>
          <m:r>
            <m:rPr>
              <m:sty m:val="p"/>
            </m:rPr>
            <w:rPr>
              <w:rFonts w:ascii="Times New Roman" w:hAnsi="Times New Roman" w:eastAsia="宋体" w:cs="Times New Roman"/>
              <w:sz w:val="24"/>
              <w:szCs w:val="24"/>
            </w:rPr>
            <m:t>⋅</m:t>
          </m:r>
          <m:r>
            <m:rPr>
              <m:nor/>
              <m:sty m:val="p"/>
            </m:rPr>
            <w:rPr>
              <w:rFonts w:ascii="Times New Roman" w:hAnsi="Times New Roman" w:eastAsia="宋体" w:cs="Times New Roman"/>
              <w:sz w:val="24"/>
              <w:szCs w:val="24"/>
            </w:rPr>
            <m:t>m</m:t>
          </m:r>
        </m:oMath>
      </m:oMathPara>
    </w:p>
    <w:bookmarkEnd w:id="33"/>
    <w:p w14:paraId="60694B8D">
      <w:pPr>
        <w:pStyle w:val="5"/>
        <w:numPr>
          <w:ilvl w:val="0"/>
          <w:numId w:val="9"/>
        </w:numPr>
        <w:ind w:left="0" w:leftChars="0" w:firstLine="0" w:firstLineChars="0"/>
        <w:rPr>
          <w:b w:val="0"/>
          <w:bdr w:val="none" w:sz="0" w:space="0"/>
        </w:rPr>
      </w:pPr>
      <w:bookmarkStart w:id="34" w:name="_Toc27976"/>
      <w:bookmarkStart w:id="35" w:name="制动盘主要尺寸确定"/>
      <w:r>
        <w:t>制动盘主要尺寸确定</w:t>
      </w:r>
      <w:bookmarkEnd w:id="34"/>
    </w:p>
    <w:p w14:paraId="2EC841A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制动盘的主要尺寸包括外径 </w:t>
      </w:r>
      <m:oMath>
        <m:r>
          <w:rPr>
            <w:rFonts w:ascii="Times New Roman" w:hAnsi="Times New Roman" w:eastAsia="宋体" w:cs="Times New Roman"/>
            <w:sz w:val="24"/>
            <w:szCs w:val="24"/>
          </w:rPr>
          <m:t>D</m:t>
        </m:r>
      </m:oMath>
      <w:r>
        <w:rPr>
          <w:rFonts w:ascii="Times New Roman" w:hAnsi="Times New Roman" w:eastAsia="宋体" w:cs="Times New Roman"/>
          <w:sz w:val="24"/>
          <w:szCs w:val="24"/>
        </w:rPr>
        <w:t xml:space="preserve">、内径 </w:t>
      </w:r>
      <m:oMath>
        <m:r>
          <w:rPr>
            <w:rFonts w:ascii="Times New Roman" w:hAnsi="Times New Roman" w:eastAsia="宋体" w:cs="Times New Roman"/>
            <w:sz w:val="24"/>
            <w:szCs w:val="24"/>
          </w:rPr>
          <m:t>d</m:t>
        </m:r>
      </m:oMath>
      <w:r>
        <w:rPr>
          <w:rFonts w:ascii="Times New Roman" w:hAnsi="Times New Roman" w:eastAsia="宋体" w:cs="Times New Roman"/>
          <w:sz w:val="24"/>
          <w:szCs w:val="24"/>
        </w:rPr>
        <w:t xml:space="preserve"> 和厚度 </w:t>
      </w:r>
      <m:oMath>
        <m:r>
          <w:rPr>
            <w:rFonts w:ascii="Times New Roman" w:hAnsi="Times New Roman" w:eastAsia="宋体" w:cs="Times New Roman"/>
            <w:sz w:val="24"/>
            <w:szCs w:val="24"/>
          </w:rPr>
          <m:t>h</m:t>
        </m:r>
      </m:oMath>
      <w:r>
        <w:rPr>
          <w:rFonts w:ascii="Times New Roman" w:hAnsi="Times New Roman" w:eastAsia="宋体" w:cs="Times New Roman"/>
          <w:sz w:val="24"/>
          <w:szCs w:val="24"/>
        </w:rPr>
        <w:t>。</w:t>
      </w:r>
    </w:p>
    <w:p w14:paraId="4CE2DD0E">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制动盘外径 </w:t>
      </w:r>
      <m:oMath>
        <m:r>
          <w:rPr>
            <w:rFonts w:ascii="Times New Roman" w:hAnsi="Times New Roman" w:eastAsia="宋体" w:cs="Times New Roman"/>
            <w:sz w:val="24"/>
            <w:szCs w:val="24"/>
          </w:rPr>
          <m:t>D</m:t>
        </m:r>
      </m:oMath>
      <w:r>
        <w:rPr>
          <w:rFonts w:ascii="Times New Roman" w:hAnsi="Times New Roman" w:eastAsia="宋体" w:cs="Times New Roman"/>
          <w:sz w:val="24"/>
          <w:szCs w:val="24"/>
        </w:rPr>
        <w:t xml:space="preserve">：制动盘外径受限于轮毂内径。通常，制动盘外径取为轮毂内径的 70%~79%。本设计中，考虑到轻型轿车的轮毂尺寸，初步选定制动盘外径 </w:t>
      </w:r>
      <m:oMath>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200 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w:t>
      </w:r>
    </w:p>
    <w:p w14:paraId="5869E872">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制动盘内径 </w:t>
      </w:r>
      <m:oMath>
        <m:r>
          <w:rPr>
            <w:rFonts w:ascii="Times New Roman" w:hAnsi="Times New Roman" w:eastAsia="宋体" w:cs="Times New Roman"/>
            <w:sz w:val="24"/>
            <w:szCs w:val="24"/>
          </w:rPr>
          <m:t>d</m:t>
        </m:r>
      </m:oMath>
      <w:r>
        <w:rPr>
          <w:rFonts w:ascii="Times New Roman" w:hAnsi="Times New Roman" w:eastAsia="宋体" w:cs="Times New Roman"/>
          <w:sz w:val="24"/>
          <w:szCs w:val="24"/>
        </w:rPr>
        <w:t xml:space="preserve">：制动盘内径的选择主要考虑制动摩擦衬块的径向宽度以及安装尺寸。通常内径 </w:t>
      </w:r>
      <m:oMath>
        <m:r>
          <w:rPr>
            <w:rFonts w:ascii="Times New Roman" w:hAnsi="Times New Roman" w:eastAsia="宋体" w:cs="Times New Roman"/>
            <w:sz w:val="24"/>
            <w:szCs w:val="24"/>
          </w:rPr>
          <m:t>d</m:t>
        </m:r>
      </m:oMath>
      <w:r>
        <w:rPr>
          <w:rFonts w:ascii="Times New Roman" w:hAnsi="Times New Roman" w:eastAsia="宋体" w:cs="Times New Roman"/>
          <w:sz w:val="24"/>
          <w:szCs w:val="24"/>
        </w:rPr>
        <w:t xml:space="preserve"> 取为外径的 0.6~0.7 倍。本设计选定制动盘内径 </w:t>
      </w:r>
      <m:oMath>
        <m:r>
          <w:rPr>
            <w:rFonts w:ascii="Times New Roman" w:hAnsi="Times New Roman" w:eastAsia="宋体" w:cs="Times New Roman"/>
            <w:sz w:val="24"/>
            <w:szCs w:val="24"/>
          </w:rPr>
          <m:t>d</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60 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w:t>
      </w:r>
    </w:p>
    <w:p w14:paraId="7E20BBE8">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制动盘厚度 </w:t>
      </w:r>
      <m:oMath>
        <m:r>
          <w:rPr>
            <w:rFonts w:ascii="Times New Roman" w:hAnsi="Times New Roman" w:eastAsia="宋体" w:cs="Times New Roman"/>
            <w:sz w:val="24"/>
            <w:szCs w:val="24"/>
          </w:rPr>
          <m:t>h</m:t>
        </m:r>
      </m:oMath>
      <w:r>
        <w:rPr>
          <w:rFonts w:ascii="Times New Roman" w:hAnsi="Times New Roman" w:eastAsia="宋体" w:cs="Times New Roman"/>
          <w:sz w:val="24"/>
          <w:szCs w:val="24"/>
        </w:rPr>
        <w:t xml:space="preserve">：制动盘厚度不仅影响其刚度和强度，还直接决定了其热容量。对于实心制动盘，轿车常用的厚度范围为 10~20 mm。综合考虑重量和热容量，本设计初定实心制动盘厚度 </w:t>
      </w:r>
      <m:oMath>
        <m:r>
          <w:rPr>
            <w:rFonts w:ascii="Times New Roman" w:hAnsi="Times New Roman" w:eastAsia="宋体" w:cs="Times New Roman"/>
            <w:sz w:val="24"/>
            <w:szCs w:val="24"/>
          </w:rPr>
          <m:t>h</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w:t>
      </w:r>
    </w:p>
    <w:p w14:paraId="15448FDB">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安装孔设计：为了将制动盘固定在轮毂上，设计了 6 个均匀分布的螺栓安装孔。安装孔分布圆直径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120 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 xml:space="preserve">，螺栓孔直径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d</m:t>
            </m:r>
            <m:ctrlPr>
              <w:rPr>
                <w:rFonts w:ascii="Cambria Math" w:hAnsi="Cambria Math" w:eastAsia="宋体" w:cs="Times New Roman"/>
                <w:sz w:val="24"/>
                <w:szCs w:val="24"/>
              </w:rPr>
            </m:ctrlPr>
          </m:e>
          <m:sub>
            <m:r>
              <w:rPr>
                <w:rFonts w:ascii="Times New Roman" w:hAnsi="Times New Roman" w:eastAsia="宋体" w:cs="Times New Roman"/>
                <w:sz w:val="24"/>
                <w:szCs w:val="24"/>
              </w:rPr>
              <m:t>1</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8 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w:t>
      </w:r>
    </w:p>
    <w:p w14:paraId="74635E01">
      <w:pPr>
        <w:pStyle w:val="3"/>
        <w:rPr>
          <w:rFonts w:ascii="Times New Roman" w:hAnsi="Times New Roman" w:eastAsia="宋体" w:cs="Times New Roman"/>
          <w:sz w:val="24"/>
          <w:szCs w:val="24"/>
        </w:rPr>
      </w:pPr>
      <w:r>
        <w:rPr>
          <w:rFonts w:ascii="Times New Roman" w:hAnsi="Times New Roman" w:eastAsia="宋体" w:cs="Times New Roman"/>
          <w:sz w:val="24"/>
          <w:szCs w:val="24"/>
        </w:rPr>
        <w:t>制动盘关键尺寸汇总如下表所示：</w:t>
      </w:r>
    </w:p>
    <w:tbl>
      <w:tblPr>
        <w:tblStyle w:val="34"/>
        <w:tblW w:w="7920" w:type="dxa"/>
        <w:jc w:val="center"/>
        <w:tblLayout w:type="autofit"/>
        <w:tblCellMar>
          <w:top w:w="0" w:type="dxa"/>
          <w:left w:w="108" w:type="dxa"/>
          <w:bottom w:w="0" w:type="dxa"/>
          <w:right w:w="108" w:type="dxa"/>
        </w:tblCellMar>
      </w:tblPr>
      <w:tblGrid>
        <w:gridCol w:w="4368"/>
        <w:gridCol w:w="1184"/>
        <w:gridCol w:w="1184"/>
        <w:gridCol w:w="1184"/>
      </w:tblGrid>
      <w:tr w14:paraId="7F8F4229">
        <w:tblPrEx>
          <w:tblCellMar>
            <w:top w:w="0" w:type="dxa"/>
            <w:left w:w="108" w:type="dxa"/>
            <w:bottom w:w="0" w:type="dxa"/>
            <w:right w:w="108" w:type="dxa"/>
          </w:tblCellMar>
        </w:tblPrEx>
        <w:trPr>
          <w:trHeight w:val="0" w:hRule="atLeast"/>
          <w:tblHeader/>
          <w:jc w:val="center"/>
        </w:trPr>
        <w:tc>
          <w:tcPr>
            <w:tcW w:w="4368" w:type="dxa"/>
            <w:tcBorders>
              <w:top w:val="single" w:color="auto" w:sz="12" w:space="0"/>
              <w:left w:val="nil"/>
              <w:bottom w:val="nil"/>
              <w:right w:val="nil"/>
            </w:tcBorders>
            <w:noWrap w:val="0"/>
            <w:tcMar>
              <w:top w:w="-1" w:type="dxa"/>
              <w:left w:w="-1" w:type="dxa"/>
              <w:bottom w:w="-1" w:type="dxa"/>
              <w:right w:w="-1" w:type="dxa"/>
            </w:tcMar>
            <w:vAlign w:val="center"/>
          </w:tcPr>
          <w:p w14:paraId="4EA1FFF8">
            <w:pPr>
              <w:pStyle w:val="28"/>
              <w:snapToGrid w:val="0"/>
              <w:spacing w:line="240" w:lineRule="auto"/>
              <w:ind w:left="0" w:leftChars="0" w:right="0" w:rightChars="0" w:firstLine="0" w:firstLineChars="0"/>
              <w:jc w:val="center"/>
              <w:rPr>
                <w:b/>
              </w:rPr>
            </w:pPr>
            <w:r>
              <w:rPr>
                <w:b/>
              </w:rPr>
              <w:t>参数名称</w:t>
            </w:r>
          </w:p>
        </w:tc>
        <w:tc>
          <w:tcPr>
            <w:tcW w:w="1184" w:type="dxa"/>
            <w:tcBorders>
              <w:top w:val="single" w:color="auto" w:sz="12" w:space="0"/>
              <w:left w:val="nil"/>
              <w:bottom w:val="nil"/>
              <w:right w:val="nil"/>
            </w:tcBorders>
            <w:noWrap w:val="0"/>
            <w:tcMar>
              <w:top w:w="-1" w:type="dxa"/>
              <w:left w:w="-1" w:type="dxa"/>
              <w:bottom w:w="-1" w:type="dxa"/>
              <w:right w:w="-1" w:type="dxa"/>
            </w:tcMar>
            <w:vAlign w:val="center"/>
          </w:tcPr>
          <w:p w14:paraId="31A37D5A">
            <w:pPr>
              <w:pStyle w:val="28"/>
              <w:snapToGrid w:val="0"/>
              <w:spacing w:line="240" w:lineRule="auto"/>
              <w:ind w:left="0" w:leftChars="0" w:right="0" w:rightChars="0" w:firstLine="0" w:firstLineChars="0"/>
              <w:jc w:val="center"/>
              <w:rPr>
                <w:b/>
              </w:rPr>
            </w:pPr>
            <w:r>
              <w:rPr>
                <w:b/>
              </w:rPr>
              <w:t>符号</w:t>
            </w:r>
          </w:p>
        </w:tc>
        <w:tc>
          <w:tcPr>
            <w:tcW w:w="1184" w:type="dxa"/>
            <w:tcBorders>
              <w:top w:val="single" w:color="auto" w:sz="12" w:space="0"/>
              <w:left w:val="nil"/>
              <w:bottom w:val="nil"/>
              <w:right w:val="nil"/>
            </w:tcBorders>
            <w:noWrap w:val="0"/>
            <w:tcMar>
              <w:top w:w="-1" w:type="dxa"/>
              <w:left w:w="-1" w:type="dxa"/>
              <w:bottom w:w="-1" w:type="dxa"/>
              <w:right w:w="-1" w:type="dxa"/>
            </w:tcMar>
            <w:vAlign w:val="center"/>
          </w:tcPr>
          <w:p w14:paraId="0BDD3668">
            <w:pPr>
              <w:pStyle w:val="28"/>
              <w:snapToGrid w:val="0"/>
              <w:spacing w:line="240" w:lineRule="auto"/>
              <w:ind w:left="0" w:leftChars="0" w:right="0" w:rightChars="0" w:firstLine="0" w:firstLineChars="0"/>
              <w:jc w:val="center"/>
              <w:rPr>
                <w:b/>
              </w:rPr>
            </w:pPr>
            <w:r>
              <w:rPr>
                <w:b/>
              </w:rPr>
              <w:t>数值</w:t>
            </w:r>
          </w:p>
        </w:tc>
        <w:tc>
          <w:tcPr>
            <w:tcW w:w="1184" w:type="dxa"/>
            <w:tcBorders>
              <w:top w:val="single" w:color="auto" w:sz="12" w:space="0"/>
              <w:left w:val="nil"/>
              <w:bottom w:val="nil"/>
              <w:right w:val="nil"/>
            </w:tcBorders>
            <w:noWrap w:val="0"/>
            <w:tcMar>
              <w:top w:w="-1" w:type="dxa"/>
              <w:left w:w="-1" w:type="dxa"/>
              <w:bottom w:w="-1" w:type="dxa"/>
              <w:right w:w="-1" w:type="dxa"/>
            </w:tcMar>
            <w:vAlign w:val="center"/>
          </w:tcPr>
          <w:p w14:paraId="7E5AF906">
            <w:pPr>
              <w:pStyle w:val="28"/>
              <w:snapToGrid w:val="0"/>
              <w:spacing w:line="240" w:lineRule="auto"/>
              <w:ind w:left="0" w:leftChars="0" w:right="0" w:rightChars="0" w:firstLine="0" w:firstLineChars="0"/>
              <w:jc w:val="center"/>
              <w:rPr>
                <w:b/>
              </w:rPr>
            </w:pPr>
            <w:r>
              <w:rPr>
                <w:b/>
              </w:rPr>
              <w:t>单位</w:t>
            </w:r>
          </w:p>
        </w:tc>
      </w:tr>
      <w:tr w14:paraId="0ADBBEFF">
        <w:tblPrEx>
          <w:tblCellMar>
            <w:top w:w="0" w:type="dxa"/>
            <w:left w:w="108" w:type="dxa"/>
            <w:bottom w:w="0" w:type="dxa"/>
            <w:right w:w="108" w:type="dxa"/>
          </w:tblCellMar>
        </w:tblPrEx>
        <w:trPr>
          <w:trHeight w:val="0" w:hRule="atLeast"/>
          <w:jc w:val="center"/>
        </w:trPr>
        <w:tc>
          <w:tcPr>
            <w:tcW w:w="4368" w:type="dxa"/>
            <w:tcBorders>
              <w:top w:val="single" w:color="auto" w:sz="4" w:space="0"/>
              <w:left w:val="nil"/>
              <w:bottom w:val="nil"/>
              <w:right w:val="nil"/>
            </w:tcBorders>
            <w:noWrap w:val="0"/>
            <w:tcMar>
              <w:top w:w="-1" w:type="dxa"/>
              <w:left w:w="-1" w:type="dxa"/>
              <w:bottom w:w="-1" w:type="dxa"/>
              <w:right w:w="-1" w:type="dxa"/>
            </w:tcMar>
            <w:vAlign w:val="center"/>
          </w:tcPr>
          <w:p w14:paraId="17C798D4">
            <w:pPr>
              <w:pStyle w:val="28"/>
              <w:snapToGrid w:val="0"/>
              <w:spacing w:line="240" w:lineRule="auto"/>
              <w:ind w:left="0" w:leftChars="0" w:right="0" w:rightChars="0" w:firstLine="0" w:firstLineChars="0"/>
              <w:jc w:val="center"/>
            </w:pPr>
            <w:r>
              <w:t>制动盘外径</w:t>
            </w:r>
          </w:p>
        </w:tc>
        <w:tc>
          <w:tcPr>
            <w:tcW w:w="1184" w:type="dxa"/>
            <w:tcBorders>
              <w:top w:val="single" w:color="auto" w:sz="4" w:space="0"/>
              <w:left w:val="nil"/>
              <w:bottom w:val="nil"/>
              <w:right w:val="nil"/>
            </w:tcBorders>
            <w:noWrap w:val="0"/>
            <w:tcMar>
              <w:top w:w="-1" w:type="dxa"/>
              <w:left w:w="-1" w:type="dxa"/>
              <w:bottom w:w="-1" w:type="dxa"/>
              <w:right w:w="-1" w:type="dxa"/>
            </w:tcMar>
            <w:vAlign w:val="center"/>
          </w:tcPr>
          <w:p w14:paraId="7906F627">
            <w:pPr>
              <w:pStyle w:val="28"/>
              <w:snapToGrid w:val="0"/>
              <w:spacing w:line="240" w:lineRule="auto"/>
              <w:ind w:left="0" w:leftChars="0" w:right="0" w:rightChars="0" w:firstLine="0" w:firstLineChars="0"/>
              <w:jc w:val="left"/>
            </w:pPr>
            <m:oMathPara>
              <m:oMath>
                <m:r>
                  <m:rPr/>
                  <m:t>D</m:t>
                </m:r>
              </m:oMath>
            </m:oMathPara>
          </w:p>
        </w:tc>
        <w:tc>
          <w:tcPr>
            <w:tcW w:w="1184" w:type="dxa"/>
            <w:tcBorders>
              <w:top w:val="single" w:color="auto" w:sz="4" w:space="0"/>
              <w:left w:val="nil"/>
              <w:bottom w:val="nil"/>
              <w:right w:val="nil"/>
            </w:tcBorders>
            <w:noWrap w:val="0"/>
            <w:tcMar>
              <w:top w:w="-1" w:type="dxa"/>
              <w:left w:w="-1" w:type="dxa"/>
              <w:bottom w:w="-1" w:type="dxa"/>
              <w:right w:w="-1" w:type="dxa"/>
            </w:tcMar>
            <w:vAlign w:val="center"/>
          </w:tcPr>
          <w:p w14:paraId="009C6322">
            <w:pPr>
              <w:pStyle w:val="28"/>
              <w:snapToGrid w:val="0"/>
              <w:spacing w:line="240" w:lineRule="auto"/>
              <w:ind w:left="0" w:leftChars="0" w:right="0" w:rightChars="0" w:firstLine="0" w:firstLineChars="0"/>
              <w:jc w:val="left"/>
            </w:pPr>
            <w:r>
              <w:t>200</w:t>
            </w:r>
          </w:p>
        </w:tc>
        <w:tc>
          <w:tcPr>
            <w:tcW w:w="1184" w:type="dxa"/>
            <w:tcBorders>
              <w:top w:val="single" w:color="auto" w:sz="4" w:space="0"/>
              <w:left w:val="nil"/>
              <w:bottom w:val="nil"/>
              <w:right w:val="nil"/>
            </w:tcBorders>
            <w:noWrap w:val="0"/>
            <w:tcMar>
              <w:top w:w="-1" w:type="dxa"/>
              <w:left w:w="-1" w:type="dxa"/>
              <w:bottom w:w="-1" w:type="dxa"/>
              <w:right w:w="-1" w:type="dxa"/>
            </w:tcMar>
            <w:vAlign w:val="center"/>
          </w:tcPr>
          <w:p w14:paraId="1743A33F">
            <w:pPr>
              <w:pStyle w:val="28"/>
              <w:snapToGrid w:val="0"/>
              <w:spacing w:line="240" w:lineRule="auto"/>
              <w:ind w:left="0" w:leftChars="0" w:right="0" w:rightChars="0" w:firstLine="0" w:firstLineChars="0"/>
              <w:jc w:val="center"/>
            </w:pPr>
            <w:r>
              <w:t>mm</w:t>
            </w:r>
          </w:p>
        </w:tc>
      </w:tr>
      <w:tr w14:paraId="78F32A34">
        <w:tblPrEx>
          <w:tblCellMar>
            <w:top w:w="0" w:type="dxa"/>
            <w:left w:w="108" w:type="dxa"/>
            <w:bottom w:w="0" w:type="dxa"/>
            <w:right w:w="108" w:type="dxa"/>
          </w:tblCellMar>
        </w:tblPrEx>
        <w:trPr>
          <w:trHeight w:val="0" w:hRule="atLeast"/>
          <w:jc w:val="center"/>
        </w:trPr>
        <w:tc>
          <w:tcPr>
            <w:tcW w:w="4368" w:type="dxa"/>
            <w:tcBorders>
              <w:top w:val="nil"/>
              <w:left w:val="nil"/>
              <w:bottom w:val="nil"/>
              <w:right w:val="nil"/>
            </w:tcBorders>
            <w:noWrap w:val="0"/>
            <w:tcMar>
              <w:top w:w="-1" w:type="dxa"/>
              <w:left w:w="-1" w:type="dxa"/>
              <w:bottom w:w="-1" w:type="dxa"/>
              <w:right w:w="-1" w:type="dxa"/>
            </w:tcMar>
            <w:vAlign w:val="center"/>
          </w:tcPr>
          <w:p w14:paraId="44077B72">
            <w:pPr>
              <w:pStyle w:val="28"/>
              <w:snapToGrid w:val="0"/>
              <w:spacing w:line="240" w:lineRule="auto"/>
              <w:ind w:left="0" w:leftChars="0" w:right="0" w:rightChars="0" w:firstLine="0" w:firstLineChars="0"/>
              <w:jc w:val="center"/>
            </w:pPr>
            <w:r>
              <w:t>制动盘内径（中心孔）</w:t>
            </w:r>
          </w:p>
        </w:tc>
        <w:tc>
          <w:tcPr>
            <w:tcW w:w="1184" w:type="dxa"/>
            <w:tcBorders>
              <w:top w:val="nil"/>
              <w:left w:val="nil"/>
              <w:bottom w:val="nil"/>
              <w:right w:val="nil"/>
            </w:tcBorders>
            <w:noWrap w:val="0"/>
            <w:tcMar>
              <w:top w:w="-1" w:type="dxa"/>
              <w:left w:w="-1" w:type="dxa"/>
              <w:bottom w:w="-1" w:type="dxa"/>
              <w:right w:w="-1" w:type="dxa"/>
            </w:tcMar>
            <w:vAlign w:val="center"/>
          </w:tcPr>
          <w:p w14:paraId="1E787BF7">
            <w:pPr>
              <w:pStyle w:val="28"/>
              <w:snapToGrid w:val="0"/>
              <w:spacing w:line="240" w:lineRule="auto"/>
              <w:ind w:left="0" w:leftChars="0" w:right="0" w:rightChars="0" w:firstLine="0" w:firstLineChars="0"/>
              <w:jc w:val="left"/>
            </w:pPr>
            <m:oMathPara>
              <m:oMath>
                <m:r>
                  <m:rPr/>
                  <m:t>d</m:t>
                </m:r>
              </m:oMath>
            </m:oMathPara>
          </w:p>
        </w:tc>
        <w:tc>
          <w:tcPr>
            <w:tcW w:w="1184" w:type="dxa"/>
            <w:tcBorders>
              <w:top w:val="nil"/>
              <w:left w:val="nil"/>
              <w:bottom w:val="nil"/>
              <w:right w:val="nil"/>
            </w:tcBorders>
            <w:noWrap w:val="0"/>
            <w:tcMar>
              <w:top w:w="-1" w:type="dxa"/>
              <w:left w:w="-1" w:type="dxa"/>
              <w:bottom w:w="-1" w:type="dxa"/>
              <w:right w:w="-1" w:type="dxa"/>
            </w:tcMar>
            <w:vAlign w:val="center"/>
          </w:tcPr>
          <w:p w14:paraId="5A0F8885">
            <w:pPr>
              <w:pStyle w:val="28"/>
              <w:snapToGrid w:val="0"/>
              <w:spacing w:line="240" w:lineRule="auto"/>
              <w:ind w:left="0" w:leftChars="0" w:right="0" w:rightChars="0" w:firstLine="0" w:firstLineChars="0"/>
              <w:jc w:val="left"/>
            </w:pPr>
            <w:r>
              <w:t>60</w:t>
            </w:r>
          </w:p>
        </w:tc>
        <w:tc>
          <w:tcPr>
            <w:tcW w:w="1184" w:type="dxa"/>
            <w:tcBorders>
              <w:top w:val="nil"/>
              <w:left w:val="nil"/>
              <w:bottom w:val="nil"/>
              <w:right w:val="nil"/>
            </w:tcBorders>
            <w:noWrap w:val="0"/>
            <w:tcMar>
              <w:top w:w="-1" w:type="dxa"/>
              <w:left w:w="-1" w:type="dxa"/>
              <w:bottom w:w="-1" w:type="dxa"/>
              <w:right w:w="-1" w:type="dxa"/>
            </w:tcMar>
            <w:vAlign w:val="center"/>
          </w:tcPr>
          <w:p w14:paraId="5FE074B8">
            <w:pPr>
              <w:pStyle w:val="28"/>
              <w:snapToGrid w:val="0"/>
              <w:spacing w:line="240" w:lineRule="auto"/>
              <w:ind w:left="0" w:leftChars="0" w:right="0" w:rightChars="0" w:firstLine="0" w:firstLineChars="0"/>
              <w:jc w:val="center"/>
            </w:pPr>
            <w:r>
              <w:t>mm</w:t>
            </w:r>
          </w:p>
        </w:tc>
      </w:tr>
      <w:tr w14:paraId="0B426897">
        <w:tblPrEx>
          <w:tblCellMar>
            <w:top w:w="0" w:type="dxa"/>
            <w:left w:w="108" w:type="dxa"/>
            <w:bottom w:w="0" w:type="dxa"/>
            <w:right w:w="108" w:type="dxa"/>
          </w:tblCellMar>
        </w:tblPrEx>
        <w:trPr>
          <w:trHeight w:val="0" w:hRule="atLeast"/>
          <w:jc w:val="center"/>
        </w:trPr>
        <w:tc>
          <w:tcPr>
            <w:tcW w:w="4368" w:type="dxa"/>
            <w:tcBorders>
              <w:top w:val="nil"/>
              <w:left w:val="nil"/>
              <w:bottom w:val="nil"/>
              <w:right w:val="nil"/>
            </w:tcBorders>
            <w:noWrap w:val="0"/>
            <w:tcMar>
              <w:top w:w="-1" w:type="dxa"/>
              <w:left w:w="-1" w:type="dxa"/>
              <w:bottom w:w="-1" w:type="dxa"/>
              <w:right w:w="-1" w:type="dxa"/>
            </w:tcMar>
            <w:vAlign w:val="center"/>
          </w:tcPr>
          <w:p w14:paraId="7B497DD5">
            <w:pPr>
              <w:pStyle w:val="28"/>
              <w:snapToGrid w:val="0"/>
              <w:spacing w:line="240" w:lineRule="auto"/>
              <w:ind w:left="0" w:leftChars="0" w:right="0" w:rightChars="0" w:firstLine="0" w:firstLineChars="0"/>
              <w:jc w:val="center"/>
            </w:pPr>
            <w:r>
              <w:t>制动盘厚度</w:t>
            </w:r>
          </w:p>
        </w:tc>
        <w:tc>
          <w:tcPr>
            <w:tcW w:w="1184" w:type="dxa"/>
            <w:tcBorders>
              <w:top w:val="nil"/>
              <w:left w:val="nil"/>
              <w:bottom w:val="nil"/>
              <w:right w:val="nil"/>
            </w:tcBorders>
            <w:noWrap w:val="0"/>
            <w:tcMar>
              <w:top w:w="-1" w:type="dxa"/>
              <w:left w:w="-1" w:type="dxa"/>
              <w:bottom w:w="-1" w:type="dxa"/>
              <w:right w:w="-1" w:type="dxa"/>
            </w:tcMar>
            <w:vAlign w:val="center"/>
          </w:tcPr>
          <w:p w14:paraId="29A233E6">
            <w:pPr>
              <w:pStyle w:val="28"/>
              <w:snapToGrid w:val="0"/>
              <w:spacing w:line="240" w:lineRule="auto"/>
              <w:ind w:left="0" w:leftChars="0" w:right="0" w:rightChars="0" w:firstLine="0" w:firstLineChars="0"/>
              <w:jc w:val="left"/>
            </w:pPr>
            <m:oMathPara>
              <m:oMath>
                <m:r>
                  <m:rPr/>
                  <m:t>h</m:t>
                </m:r>
              </m:oMath>
            </m:oMathPara>
          </w:p>
        </w:tc>
        <w:tc>
          <w:tcPr>
            <w:tcW w:w="1184" w:type="dxa"/>
            <w:tcBorders>
              <w:top w:val="nil"/>
              <w:left w:val="nil"/>
              <w:bottom w:val="nil"/>
              <w:right w:val="nil"/>
            </w:tcBorders>
            <w:noWrap w:val="0"/>
            <w:tcMar>
              <w:top w:w="-1" w:type="dxa"/>
              <w:left w:w="-1" w:type="dxa"/>
              <w:bottom w:w="-1" w:type="dxa"/>
              <w:right w:w="-1" w:type="dxa"/>
            </w:tcMar>
            <w:vAlign w:val="center"/>
          </w:tcPr>
          <w:p w14:paraId="418B7CC1">
            <w:pPr>
              <w:pStyle w:val="28"/>
              <w:snapToGrid w:val="0"/>
              <w:spacing w:line="240" w:lineRule="auto"/>
              <w:ind w:left="0" w:leftChars="0" w:right="0" w:rightChars="0" w:firstLine="0" w:firstLineChars="0"/>
              <w:jc w:val="left"/>
            </w:pPr>
            <w:r>
              <w:t>12</w:t>
            </w:r>
          </w:p>
        </w:tc>
        <w:tc>
          <w:tcPr>
            <w:tcW w:w="1184" w:type="dxa"/>
            <w:tcBorders>
              <w:top w:val="nil"/>
              <w:left w:val="nil"/>
              <w:bottom w:val="nil"/>
              <w:right w:val="nil"/>
            </w:tcBorders>
            <w:noWrap w:val="0"/>
            <w:tcMar>
              <w:top w:w="-1" w:type="dxa"/>
              <w:left w:w="-1" w:type="dxa"/>
              <w:bottom w:w="-1" w:type="dxa"/>
              <w:right w:w="-1" w:type="dxa"/>
            </w:tcMar>
            <w:vAlign w:val="center"/>
          </w:tcPr>
          <w:p w14:paraId="7B36001E">
            <w:pPr>
              <w:pStyle w:val="28"/>
              <w:snapToGrid w:val="0"/>
              <w:spacing w:line="240" w:lineRule="auto"/>
              <w:ind w:left="0" w:leftChars="0" w:right="0" w:rightChars="0" w:firstLine="0" w:firstLineChars="0"/>
              <w:jc w:val="center"/>
            </w:pPr>
            <w:r>
              <w:t>mm</w:t>
            </w:r>
          </w:p>
        </w:tc>
      </w:tr>
      <w:tr w14:paraId="0FF7CB6D">
        <w:tblPrEx>
          <w:tblCellMar>
            <w:top w:w="0" w:type="dxa"/>
            <w:left w:w="108" w:type="dxa"/>
            <w:bottom w:w="0" w:type="dxa"/>
            <w:right w:w="108" w:type="dxa"/>
          </w:tblCellMar>
        </w:tblPrEx>
        <w:trPr>
          <w:trHeight w:val="0" w:hRule="atLeast"/>
          <w:jc w:val="center"/>
        </w:trPr>
        <w:tc>
          <w:tcPr>
            <w:tcW w:w="4368" w:type="dxa"/>
            <w:tcBorders>
              <w:top w:val="nil"/>
              <w:left w:val="nil"/>
              <w:bottom w:val="nil"/>
              <w:right w:val="nil"/>
            </w:tcBorders>
            <w:noWrap w:val="0"/>
            <w:tcMar>
              <w:top w:w="-1" w:type="dxa"/>
              <w:left w:w="-1" w:type="dxa"/>
              <w:bottom w:w="-1" w:type="dxa"/>
              <w:right w:w="-1" w:type="dxa"/>
            </w:tcMar>
            <w:vAlign w:val="center"/>
          </w:tcPr>
          <w:p w14:paraId="2EAA25F2">
            <w:pPr>
              <w:pStyle w:val="28"/>
              <w:snapToGrid w:val="0"/>
              <w:spacing w:line="240" w:lineRule="auto"/>
              <w:ind w:left="0" w:leftChars="0" w:right="0" w:rightChars="0" w:firstLine="0" w:firstLineChars="0"/>
              <w:jc w:val="center"/>
            </w:pPr>
            <w:r>
              <w:t>螺栓孔分布圆直径</w:t>
            </w:r>
          </w:p>
        </w:tc>
        <w:tc>
          <w:tcPr>
            <w:tcW w:w="1184" w:type="dxa"/>
            <w:tcBorders>
              <w:top w:val="nil"/>
              <w:left w:val="nil"/>
              <w:bottom w:val="nil"/>
              <w:right w:val="nil"/>
            </w:tcBorders>
            <w:noWrap w:val="0"/>
            <w:tcMar>
              <w:top w:w="-1" w:type="dxa"/>
              <w:left w:w="-1" w:type="dxa"/>
              <w:bottom w:w="-1" w:type="dxa"/>
              <w:right w:w="-1" w:type="dxa"/>
            </w:tcMar>
            <w:vAlign w:val="center"/>
          </w:tcPr>
          <w:p w14:paraId="4B4BB8B4">
            <w:pPr>
              <w:pStyle w:val="28"/>
              <w:snapToGrid w:val="0"/>
              <w:spacing w:line="240" w:lineRule="auto"/>
              <w:ind w:left="0" w:leftChars="0" w:right="0" w:rightChars="0" w:firstLine="0" w:firstLineChars="0"/>
              <w:jc w:val="left"/>
            </w:pPr>
            <m:oMathPara>
              <m:oMath>
                <m:sSub>
                  <m:sSubPr/>
                  <m:e>
                    <m:r>
                      <m:rPr/>
                      <m:t>D</m:t>
                    </m:r>
                  </m:e>
                  <m:sub>
                    <m:r>
                      <m:rPr/>
                      <m:t>1</m:t>
                    </m:r>
                  </m:sub>
                </m:sSub>
              </m:oMath>
            </m:oMathPara>
          </w:p>
        </w:tc>
        <w:tc>
          <w:tcPr>
            <w:tcW w:w="1184" w:type="dxa"/>
            <w:tcBorders>
              <w:top w:val="nil"/>
              <w:left w:val="nil"/>
              <w:bottom w:val="nil"/>
              <w:right w:val="nil"/>
            </w:tcBorders>
            <w:noWrap w:val="0"/>
            <w:tcMar>
              <w:top w:w="-1" w:type="dxa"/>
              <w:left w:w="-1" w:type="dxa"/>
              <w:bottom w:w="-1" w:type="dxa"/>
              <w:right w:w="-1" w:type="dxa"/>
            </w:tcMar>
            <w:vAlign w:val="center"/>
          </w:tcPr>
          <w:p w14:paraId="75C11178">
            <w:pPr>
              <w:pStyle w:val="28"/>
              <w:snapToGrid w:val="0"/>
              <w:spacing w:line="240" w:lineRule="auto"/>
              <w:ind w:left="0" w:leftChars="0" w:right="0" w:rightChars="0" w:firstLine="0" w:firstLineChars="0"/>
              <w:jc w:val="left"/>
            </w:pPr>
            <w:r>
              <w:t>120</w:t>
            </w:r>
          </w:p>
        </w:tc>
        <w:tc>
          <w:tcPr>
            <w:tcW w:w="1184" w:type="dxa"/>
            <w:tcBorders>
              <w:top w:val="nil"/>
              <w:left w:val="nil"/>
              <w:bottom w:val="nil"/>
              <w:right w:val="nil"/>
            </w:tcBorders>
            <w:noWrap w:val="0"/>
            <w:tcMar>
              <w:top w:w="-1" w:type="dxa"/>
              <w:left w:w="-1" w:type="dxa"/>
              <w:bottom w:w="-1" w:type="dxa"/>
              <w:right w:w="-1" w:type="dxa"/>
            </w:tcMar>
            <w:vAlign w:val="center"/>
          </w:tcPr>
          <w:p w14:paraId="4A0B30E2">
            <w:pPr>
              <w:pStyle w:val="28"/>
              <w:snapToGrid w:val="0"/>
              <w:spacing w:line="240" w:lineRule="auto"/>
              <w:ind w:left="0" w:leftChars="0" w:right="0" w:rightChars="0" w:firstLine="0" w:firstLineChars="0"/>
              <w:jc w:val="center"/>
            </w:pPr>
            <w:r>
              <w:t>mm</w:t>
            </w:r>
          </w:p>
        </w:tc>
      </w:tr>
      <w:tr w14:paraId="745BE1D4">
        <w:tblPrEx>
          <w:tblCellMar>
            <w:top w:w="0" w:type="dxa"/>
            <w:left w:w="108" w:type="dxa"/>
            <w:bottom w:w="0" w:type="dxa"/>
            <w:right w:w="108" w:type="dxa"/>
          </w:tblCellMar>
        </w:tblPrEx>
        <w:trPr>
          <w:trHeight w:val="0" w:hRule="atLeast"/>
          <w:jc w:val="center"/>
        </w:trPr>
        <w:tc>
          <w:tcPr>
            <w:tcW w:w="4368" w:type="dxa"/>
            <w:tcBorders>
              <w:top w:val="nil"/>
              <w:left w:val="nil"/>
              <w:bottom w:val="nil"/>
              <w:right w:val="nil"/>
            </w:tcBorders>
            <w:noWrap w:val="0"/>
            <w:tcMar>
              <w:top w:w="-1" w:type="dxa"/>
              <w:left w:w="-1" w:type="dxa"/>
              <w:bottom w:w="-1" w:type="dxa"/>
              <w:right w:w="-1" w:type="dxa"/>
            </w:tcMar>
            <w:vAlign w:val="center"/>
          </w:tcPr>
          <w:p w14:paraId="25806697">
            <w:pPr>
              <w:pStyle w:val="28"/>
              <w:snapToGrid w:val="0"/>
              <w:spacing w:line="240" w:lineRule="auto"/>
              <w:ind w:left="0" w:leftChars="0" w:right="0" w:rightChars="0" w:firstLine="0" w:firstLineChars="0"/>
              <w:jc w:val="center"/>
            </w:pPr>
            <w:r>
              <w:t>螺栓孔直径</w:t>
            </w:r>
          </w:p>
        </w:tc>
        <w:tc>
          <w:tcPr>
            <w:tcW w:w="1184" w:type="dxa"/>
            <w:tcBorders>
              <w:top w:val="nil"/>
              <w:left w:val="nil"/>
              <w:bottom w:val="nil"/>
              <w:right w:val="nil"/>
            </w:tcBorders>
            <w:noWrap w:val="0"/>
            <w:tcMar>
              <w:top w:w="-1" w:type="dxa"/>
              <w:left w:w="-1" w:type="dxa"/>
              <w:bottom w:w="-1" w:type="dxa"/>
              <w:right w:w="-1" w:type="dxa"/>
            </w:tcMar>
            <w:vAlign w:val="center"/>
          </w:tcPr>
          <w:p w14:paraId="70576095">
            <w:pPr>
              <w:pStyle w:val="28"/>
              <w:snapToGrid w:val="0"/>
              <w:spacing w:line="240" w:lineRule="auto"/>
              <w:ind w:left="0" w:leftChars="0" w:right="0" w:rightChars="0" w:firstLine="0" w:firstLineChars="0"/>
              <w:jc w:val="left"/>
            </w:pPr>
            <m:oMathPara>
              <m:oMath>
                <m:sSub>
                  <m:sSubPr/>
                  <m:e>
                    <m:r>
                      <m:rPr/>
                      <m:t>d</m:t>
                    </m:r>
                  </m:e>
                  <m:sub>
                    <m:r>
                      <m:rPr/>
                      <m:t>1</m:t>
                    </m:r>
                  </m:sub>
                </m:sSub>
              </m:oMath>
            </m:oMathPara>
          </w:p>
        </w:tc>
        <w:tc>
          <w:tcPr>
            <w:tcW w:w="1184" w:type="dxa"/>
            <w:tcBorders>
              <w:top w:val="nil"/>
              <w:left w:val="nil"/>
              <w:bottom w:val="nil"/>
              <w:right w:val="nil"/>
            </w:tcBorders>
            <w:noWrap w:val="0"/>
            <w:tcMar>
              <w:top w:w="-1" w:type="dxa"/>
              <w:left w:w="-1" w:type="dxa"/>
              <w:bottom w:w="-1" w:type="dxa"/>
              <w:right w:w="-1" w:type="dxa"/>
            </w:tcMar>
            <w:vAlign w:val="center"/>
          </w:tcPr>
          <w:p w14:paraId="49A48089">
            <w:pPr>
              <w:pStyle w:val="28"/>
              <w:snapToGrid w:val="0"/>
              <w:spacing w:line="240" w:lineRule="auto"/>
              <w:ind w:left="0" w:leftChars="0" w:right="0" w:rightChars="0" w:firstLine="0" w:firstLineChars="0"/>
              <w:jc w:val="left"/>
            </w:pPr>
            <w:r>
              <w:t>8</w:t>
            </w:r>
          </w:p>
        </w:tc>
        <w:tc>
          <w:tcPr>
            <w:tcW w:w="1184" w:type="dxa"/>
            <w:tcBorders>
              <w:top w:val="nil"/>
              <w:left w:val="nil"/>
              <w:bottom w:val="nil"/>
              <w:right w:val="nil"/>
            </w:tcBorders>
            <w:noWrap w:val="0"/>
            <w:tcMar>
              <w:top w:w="-1" w:type="dxa"/>
              <w:left w:w="-1" w:type="dxa"/>
              <w:bottom w:w="-1" w:type="dxa"/>
              <w:right w:w="-1" w:type="dxa"/>
            </w:tcMar>
            <w:vAlign w:val="center"/>
          </w:tcPr>
          <w:p w14:paraId="6630EF8C">
            <w:pPr>
              <w:pStyle w:val="28"/>
              <w:snapToGrid w:val="0"/>
              <w:spacing w:line="240" w:lineRule="auto"/>
              <w:ind w:left="0" w:leftChars="0" w:right="0" w:rightChars="0" w:firstLine="0" w:firstLineChars="0"/>
              <w:jc w:val="center"/>
            </w:pPr>
            <w:r>
              <w:t>mm</w:t>
            </w:r>
          </w:p>
        </w:tc>
      </w:tr>
      <w:tr w14:paraId="586B8534">
        <w:tblPrEx>
          <w:tblCellMar>
            <w:top w:w="0" w:type="dxa"/>
            <w:left w:w="108" w:type="dxa"/>
            <w:bottom w:w="0" w:type="dxa"/>
            <w:right w:w="108" w:type="dxa"/>
          </w:tblCellMar>
        </w:tblPrEx>
        <w:trPr>
          <w:trHeight w:val="0" w:hRule="atLeast"/>
          <w:jc w:val="center"/>
        </w:trPr>
        <w:tc>
          <w:tcPr>
            <w:tcW w:w="4368" w:type="dxa"/>
            <w:tcBorders>
              <w:top w:val="nil"/>
              <w:left w:val="nil"/>
              <w:bottom w:val="single" w:color="auto" w:sz="12" w:space="0"/>
              <w:right w:val="nil"/>
            </w:tcBorders>
            <w:noWrap w:val="0"/>
            <w:tcMar>
              <w:top w:w="-1" w:type="dxa"/>
              <w:left w:w="-1" w:type="dxa"/>
              <w:bottom w:w="-1" w:type="dxa"/>
              <w:right w:w="-1" w:type="dxa"/>
            </w:tcMar>
            <w:vAlign w:val="center"/>
          </w:tcPr>
          <w:p w14:paraId="3A212DE1">
            <w:pPr>
              <w:pStyle w:val="28"/>
              <w:snapToGrid w:val="0"/>
              <w:spacing w:line="240" w:lineRule="auto"/>
              <w:ind w:left="0" w:leftChars="0" w:right="0" w:rightChars="0" w:firstLine="0" w:firstLineChars="0"/>
              <w:jc w:val="center"/>
            </w:pPr>
            <w:r>
              <w:t>螺栓孔数量</w:t>
            </w:r>
          </w:p>
        </w:tc>
        <w:tc>
          <w:tcPr>
            <w:tcW w:w="1184" w:type="dxa"/>
            <w:tcBorders>
              <w:top w:val="nil"/>
              <w:left w:val="nil"/>
              <w:bottom w:val="single" w:color="auto" w:sz="12" w:space="0"/>
              <w:right w:val="nil"/>
            </w:tcBorders>
            <w:noWrap w:val="0"/>
            <w:tcMar>
              <w:top w:w="-1" w:type="dxa"/>
              <w:left w:w="-1" w:type="dxa"/>
              <w:bottom w:w="-1" w:type="dxa"/>
              <w:right w:w="-1" w:type="dxa"/>
            </w:tcMar>
            <w:vAlign w:val="center"/>
          </w:tcPr>
          <w:p w14:paraId="4A7FB8C4">
            <w:pPr>
              <w:pStyle w:val="28"/>
              <w:snapToGrid w:val="0"/>
              <w:spacing w:line="240" w:lineRule="auto"/>
              <w:ind w:left="0" w:leftChars="0" w:right="0" w:rightChars="0" w:firstLine="0" w:firstLineChars="0"/>
              <w:jc w:val="left"/>
            </w:pPr>
            <m:oMathPara>
              <m:oMath>
                <m:r>
                  <m:rPr/>
                  <m:t>n</m:t>
                </m:r>
              </m:oMath>
            </m:oMathPara>
          </w:p>
        </w:tc>
        <w:tc>
          <w:tcPr>
            <w:tcW w:w="1184" w:type="dxa"/>
            <w:tcBorders>
              <w:top w:val="nil"/>
              <w:left w:val="nil"/>
              <w:bottom w:val="single" w:color="auto" w:sz="12" w:space="0"/>
              <w:right w:val="nil"/>
            </w:tcBorders>
            <w:noWrap w:val="0"/>
            <w:tcMar>
              <w:top w:w="-1" w:type="dxa"/>
              <w:left w:w="-1" w:type="dxa"/>
              <w:bottom w:w="-1" w:type="dxa"/>
              <w:right w:w="-1" w:type="dxa"/>
            </w:tcMar>
            <w:vAlign w:val="center"/>
          </w:tcPr>
          <w:p w14:paraId="100ABAC4">
            <w:pPr>
              <w:pStyle w:val="28"/>
              <w:snapToGrid w:val="0"/>
              <w:spacing w:line="240" w:lineRule="auto"/>
              <w:ind w:left="0" w:leftChars="0" w:right="0" w:rightChars="0" w:firstLine="0" w:firstLineChars="0"/>
              <w:jc w:val="left"/>
            </w:pPr>
            <w:r>
              <w:t>6</w:t>
            </w:r>
          </w:p>
        </w:tc>
        <w:tc>
          <w:tcPr>
            <w:tcW w:w="1184" w:type="dxa"/>
            <w:tcBorders>
              <w:top w:val="nil"/>
              <w:left w:val="nil"/>
              <w:bottom w:val="single" w:color="auto" w:sz="12" w:space="0"/>
              <w:right w:val="nil"/>
            </w:tcBorders>
            <w:noWrap w:val="0"/>
            <w:tcMar>
              <w:top w:w="-1" w:type="dxa"/>
              <w:left w:w="-1" w:type="dxa"/>
              <w:bottom w:w="-1" w:type="dxa"/>
              <w:right w:w="-1" w:type="dxa"/>
            </w:tcMar>
            <w:vAlign w:val="center"/>
          </w:tcPr>
          <w:p w14:paraId="487BD042">
            <w:pPr>
              <w:pStyle w:val="28"/>
              <w:snapToGrid w:val="0"/>
              <w:spacing w:line="240" w:lineRule="auto"/>
              <w:ind w:left="0" w:leftChars="0" w:right="0" w:rightChars="0" w:firstLine="0" w:firstLineChars="0"/>
              <w:jc w:val="center"/>
            </w:pPr>
            <w:r>
              <w:t>个</w:t>
            </w:r>
          </w:p>
        </w:tc>
      </w:tr>
      <w:bookmarkEnd w:id="29"/>
      <w:bookmarkEnd w:id="35"/>
    </w:tbl>
    <w:p w14:paraId="18FD94E3">
      <w:pPr>
        <w:pStyle w:val="4"/>
        <w:numPr>
          <w:ilvl w:val="0"/>
          <w:numId w:val="8"/>
        </w:numPr>
        <w:ind w:left="0" w:leftChars="0" w:firstLine="0" w:firstLineChars="0"/>
        <w:rPr>
          <w:b w:val="0"/>
          <w:bdr w:val="none" w:sz="0" w:space="0"/>
        </w:rPr>
      </w:pPr>
      <w:bookmarkStart w:id="36" w:name="_Toc3970"/>
      <w:bookmarkStart w:id="37" w:name="基于solidworks的三维建模"/>
      <w:r>
        <w:t>基于SolidWorks的三维建模</w:t>
      </w:r>
      <w:bookmarkEnd w:id="36"/>
    </w:p>
    <w:p w14:paraId="0B4EAC1A">
      <w:pPr>
        <w:pStyle w:val="3"/>
        <w:rPr>
          <w:rFonts w:ascii="Times New Roman" w:hAnsi="Times New Roman" w:eastAsia="宋体" w:cs="Times New Roman"/>
          <w:sz w:val="24"/>
          <w:szCs w:val="24"/>
        </w:rPr>
      </w:pPr>
      <w:r>
        <w:rPr>
          <w:rFonts w:ascii="Times New Roman" w:hAnsi="Times New Roman" w:eastAsia="宋体" w:cs="Times New Roman"/>
          <w:sz w:val="24"/>
          <w:szCs w:val="24"/>
        </w:rPr>
        <w:t>根据上述理论计算得到的几何参数，利用SolidWorks三维CAD软件对优化前的实心制动盘进行建模。建模步骤如下：首先在SolidWorks前视基准面上绘制同心圆，外圆直径 200 mm，内圆直径 60 mm；然后将草图拉伸 12 mm，生成制动盘的主体圆盘；接着在圆盘中心区域绘制法兰草图并进行拉伸或切除，形成厚度方向的偏移（偏移量 dZ = 2 mm）；随后在直径为 120 mm 的分布圆上，绘制 6 个直径为 8 mm 的圆，使用拉伸切除命令生成贯穿的安装孔；最后对制动盘的边缘和孔口进行倒角处理，以减少应力集中。建立的优化前制动盘三维模型如图2-1所示。</w:t>
      </w:r>
    </w:p>
    <w:p w14:paraId="08DC3887">
      <w:pPr>
        <w:pStyle w:val="40"/>
      </w:pPr>
      <w:r>
        <w:drawing>
          <wp:inline distT="0" distB="0" distL="114300" distR="114300">
            <wp:extent cx="5334000" cy="3658870"/>
            <wp:effectExtent l="0" t="0" r="0" b="0"/>
            <wp:docPr id="50" name="Picture" descr="图2-1 优化前制动盘SolidWorks三维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descr="图2-1 优化前制动盘SolidWorks三维模型"/>
                    <pic:cNvPicPr>
                      <a:picLocks noChangeAspect="1" noChangeArrowheads="1"/>
                    </pic:cNvPicPr>
                  </pic:nvPicPr>
                  <pic:blipFill>
                    <a:blip r:embed="rId9"/>
                    <a:stretch>
                      <a:fillRect/>
                    </a:stretch>
                  </pic:blipFill>
                  <pic:spPr>
                    <a:xfrm>
                      <a:off x="0" y="0"/>
                      <a:ext cx="5334000" cy="3658993"/>
                    </a:xfrm>
                    <a:prstGeom prst="rect">
                      <a:avLst/>
                    </a:prstGeom>
                    <a:noFill/>
                    <a:ln w="9525">
                      <a:noFill/>
                    </a:ln>
                  </pic:spPr>
                </pic:pic>
              </a:graphicData>
            </a:graphic>
          </wp:inline>
        </w:drawing>
      </w:r>
    </w:p>
    <w:p w14:paraId="2EC6DEB4">
      <w:pPr>
        <w:pStyle w:val="78"/>
        <w:widowControl/>
      </w:pPr>
      <w:r>
        <w:t>图2-1 优化前制动盘SolidWorks三维模型</w:t>
      </w:r>
    </w:p>
    <w:bookmarkEnd w:id="37"/>
    <w:p w14:paraId="04B70FD1">
      <w:pPr>
        <w:pStyle w:val="4"/>
        <w:numPr>
          <w:ilvl w:val="0"/>
          <w:numId w:val="8"/>
        </w:numPr>
        <w:ind w:left="0" w:leftChars="0" w:firstLine="0" w:firstLineChars="0"/>
      </w:pPr>
      <w:bookmarkStart w:id="38" w:name="_Toc20353"/>
      <w:bookmarkStart w:id="39" w:name="本章小结"/>
      <w:r>
        <w:t>本章小结</w:t>
      </w:r>
      <w:bookmarkEnd w:id="38"/>
    </w:p>
    <w:p w14:paraId="0FE2E380">
      <w:pPr>
        <w:pStyle w:val="3"/>
        <w:rPr>
          <w:rFonts w:ascii="Times New Roman" w:hAnsi="Times New Roman" w:eastAsia="宋体" w:cs="Times New Roman"/>
          <w:sz w:val="24"/>
          <w:szCs w:val="24"/>
        </w:rPr>
      </w:pPr>
      <w:r>
        <w:rPr>
          <w:rFonts w:ascii="Times New Roman" w:hAnsi="Times New Roman" w:eastAsia="宋体" w:cs="Times New Roman"/>
          <w:sz w:val="24"/>
          <w:szCs w:val="24"/>
        </w:rPr>
        <w:t>本章根据某轻型轿车的整车参数，详细计算了前轮所需的制动力矩，并依据经验公式和安装空间限制，确定了制动盘的外径、内径、厚度及安装孔等关键几何尺寸。随后，利用SolidWorks软件完成了优化前实心制动盘的精确三维实体建模，为后续导入ANSYS Workbench进行有限元静力学与模态分析提供了可靠的几何模型基础。</w:t>
      </w:r>
    </w:p>
    <w:bookmarkEnd w:id="27"/>
    <w:bookmarkEnd w:id="39"/>
    <w:p w14:paraId="3A09CF09">
      <w:pPr>
        <w:pStyle w:val="2"/>
        <w:numPr>
          <w:ilvl w:val="0"/>
          <w:numId w:val="1"/>
        </w:numPr>
        <w:ind w:left="0" w:leftChars="0" w:firstLine="0" w:firstLineChars="0"/>
        <w:rPr>
          <w:b w:val="0"/>
          <w:bdr w:val="none" w:sz="0" w:space="0"/>
        </w:rPr>
      </w:pPr>
      <w:bookmarkStart w:id="40" w:name="_Toc12654"/>
      <w:bookmarkStart w:id="41" w:name="第三章-优化前制动盘有限元分析"/>
      <w:r>
        <w:br w:type="page"/>
      </w:r>
      <w:r>
        <w:t>优化前制动盘有限元分析</w:t>
      </w:r>
      <w:bookmarkEnd w:id="40"/>
    </w:p>
    <w:p w14:paraId="482B5430">
      <w:pPr>
        <w:pStyle w:val="3"/>
        <w:rPr>
          <w:rFonts w:ascii="Times New Roman" w:hAnsi="Times New Roman" w:eastAsia="宋体" w:cs="Times New Roman"/>
          <w:sz w:val="24"/>
          <w:szCs w:val="24"/>
        </w:rPr>
      </w:pPr>
      <w:r>
        <w:rPr>
          <w:rFonts w:ascii="Times New Roman" w:hAnsi="Times New Roman" w:eastAsia="宋体" w:cs="Times New Roman"/>
          <w:sz w:val="24"/>
          <w:szCs w:val="24"/>
        </w:rPr>
        <w:t>为了评估初始设计的制动盘在极端制动工况下的结构强度和振动特性，将SolidWorks中建立的三维模型导入ANSYS Workbench平台，分别进行静力学分析和模态分析。</w:t>
      </w:r>
    </w:p>
    <w:p w14:paraId="1131117F">
      <w:pPr>
        <w:pStyle w:val="4"/>
        <w:numPr>
          <w:ilvl w:val="0"/>
          <w:numId w:val="10"/>
        </w:numPr>
        <w:ind w:left="0" w:leftChars="0" w:firstLine="0" w:firstLineChars="0"/>
        <w:rPr>
          <w:b w:val="0"/>
          <w:bdr w:val="none" w:sz="0" w:space="0"/>
        </w:rPr>
      </w:pPr>
      <w:bookmarkStart w:id="42" w:name="_Toc9242"/>
      <w:bookmarkStart w:id="43" w:name="有限元模型的建立与网格划分"/>
      <w:r>
        <w:t>有限元模型的建立与网格划分</w:t>
      </w:r>
      <w:bookmarkEnd w:id="42"/>
    </w:p>
    <w:p w14:paraId="451A38AA">
      <w:pPr>
        <w:pStyle w:val="3"/>
        <w:rPr>
          <w:rFonts w:ascii="Times New Roman" w:hAnsi="Times New Roman" w:eastAsia="宋体" w:cs="Times New Roman"/>
          <w:sz w:val="24"/>
          <w:szCs w:val="24"/>
        </w:rPr>
      </w:pPr>
      <w:r>
        <w:rPr>
          <w:rFonts w:ascii="Times New Roman" w:hAnsi="Times New Roman" w:eastAsia="宋体" w:cs="Times New Roman"/>
          <w:sz w:val="24"/>
          <w:szCs w:val="24"/>
        </w:rPr>
        <w:t>将SolidWorks格式的模型文件直接导入ANSYS Workbench中的静态结构模块。制动盘材料选用灰铸铁（HT250），其主要物理和力学性能参数设置如下表所示：</w:t>
      </w:r>
    </w:p>
    <w:tbl>
      <w:tblPr>
        <w:tblStyle w:val="34"/>
        <w:tblW w:w="7920" w:type="dxa"/>
        <w:jc w:val="center"/>
        <w:tblLayout w:type="autofit"/>
        <w:tblCellMar>
          <w:top w:w="0" w:type="dxa"/>
          <w:left w:w="108" w:type="dxa"/>
          <w:bottom w:w="0" w:type="dxa"/>
          <w:right w:w="108" w:type="dxa"/>
        </w:tblCellMar>
      </w:tblPr>
      <w:tblGrid>
        <w:gridCol w:w="2478"/>
        <w:gridCol w:w="1476"/>
        <w:gridCol w:w="2312"/>
        <w:gridCol w:w="1654"/>
      </w:tblGrid>
      <w:tr w14:paraId="0497F295">
        <w:tblPrEx>
          <w:tblCellMar>
            <w:top w:w="0" w:type="dxa"/>
            <w:left w:w="108" w:type="dxa"/>
            <w:bottom w:w="0" w:type="dxa"/>
            <w:right w:w="108" w:type="dxa"/>
          </w:tblCellMar>
        </w:tblPrEx>
        <w:trPr>
          <w:trHeight w:val="0" w:hRule="atLeast"/>
          <w:tblHeader/>
          <w:jc w:val="center"/>
        </w:trPr>
        <w:tc>
          <w:tcPr>
            <w:tcW w:w="2478" w:type="dxa"/>
            <w:tcBorders>
              <w:top w:val="single" w:color="auto" w:sz="12" w:space="0"/>
              <w:left w:val="nil"/>
              <w:bottom w:val="nil"/>
              <w:right w:val="nil"/>
            </w:tcBorders>
            <w:noWrap w:val="0"/>
            <w:tcMar>
              <w:top w:w="-1" w:type="dxa"/>
              <w:left w:w="-1" w:type="dxa"/>
              <w:bottom w:w="-1" w:type="dxa"/>
              <w:right w:w="-1" w:type="dxa"/>
            </w:tcMar>
            <w:vAlign w:val="center"/>
          </w:tcPr>
          <w:p w14:paraId="57881947">
            <w:pPr>
              <w:pStyle w:val="28"/>
              <w:snapToGrid w:val="0"/>
              <w:spacing w:line="240" w:lineRule="auto"/>
              <w:ind w:left="0" w:leftChars="0" w:right="0" w:rightChars="0" w:firstLine="0" w:firstLineChars="0"/>
              <w:jc w:val="center"/>
              <w:rPr>
                <w:b/>
              </w:rPr>
            </w:pPr>
            <w:r>
              <w:rPr>
                <w:b/>
              </w:rPr>
              <w:t>材料属性</w:t>
            </w:r>
          </w:p>
        </w:tc>
        <w:tc>
          <w:tcPr>
            <w:tcW w:w="1476" w:type="dxa"/>
            <w:tcBorders>
              <w:top w:val="single" w:color="auto" w:sz="12" w:space="0"/>
              <w:left w:val="nil"/>
              <w:bottom w:val="nil"/>
              <w:right w:val="nil"/>
            </w:tcBorders>
            <w:noWrap w:val="0"/>
            <w:tcMar>
              <w:top w:w="-1" w:type="dxa"/>
              <w:left w:w="-1" w:type="dxa"/>
              <w:bottom w:w="-1" w:type="dxa"/>
              <w:right w:w="-1" w:type="dxa"/>
            </w:tcMar>
            <w:vAlign w:val="center"/>
          </w:tcPr>
          <w:p w14:paraId="01D1B172">
            <w:pPr>
              <w:pStyle w:val="28"/>
              <w:snapToGrid w:val="0"/>
              <w:spacing w:line="240" w:lineRule="auto"/>
              <w:ind w:left="0" w:leftChars="0" w:right="0" w:rightChars="0" w:firstLine="0" w:firstLineChars="0"/>
              <w:jc w:val="center"/>
              <w:rPr>
                <w:b/>
              </w:rPr>
            </w:pPr>
            <w:r>
              <w:rPr>
                <w:b/>
              </w:rPr>
              <w:t>符号</w:t>
            </w:r>
          </w:p>
        </w:tc>
        <w:tc>
          <w:tcPr>
            <w:tcW w:w="2312" w:type="dxa"/>
            <w:tcBorders>
              <w:top w:val="single" w:color="auto" w:sz="12" w:space="0"/>
              <w:left w:val="nil"/>
              <w:bottom w:val="nil"/>
              <w:right w:val="nil"/>
            </w:tcBorders>
            <w:noWrap w:val="0"/>
            <w:tcMar>
              <w:top w:w="-1" w:type="dxa"/>
              <w:left w:w="-1" w:type="dxa"/>
              <w:bottom w:w="-1" w:type="dxa"/>
              <w:right w:w="-1" w:type="dxa"/>
            </w:tcMar>
            <w:vAlign w:val="center"/>
          </w:tcPr>
          <w:p w14:paraId="5369CB2C">
            <w:pPr>
              <w:pStyle w:val="28"/>
              <w:snapToGrid w:val="0"/>
              <w:spacing w:line="240" w:lineRule="auto"/>
              <w:ind w:left="0" w:leftChars="0" w:right="0" w:rightChars="0" w:firstLine="0" w:firstLineChars="0"/>
              <w:jc w:val="center"/>
              <w:rPr>
                <w:b/>
              </w:rPr>
            </w:pPr>
            <w:r>
              <w:rPr>
                <w:b/>
              </w:rPr>
              <w:t>数值</w:t>
            </w:r>
          </w:p>
        </w:tc>
        <w:tc>
          <w:tcPr>
            <w:tcW w:w="1654" w:type="dxa"/>
            <w:tcBorders>
              <w:top w:val="single" w:color="auto" w:sz="12" w:space="0"/>
              <w:left w:val="nil"/>
              <w:bottom w:val="nil"/>
              <w:right w:val="nil"/>
            </w:tcBorders>
            <w:noWrap w:val="0"/>
            <w:tcMar>
              <w:top w:w="-1" w:type="dxa"/>
              <w:left w:w="-1" w:type="dxa"/>
              <w:bottom w:w="-1" w:type="dxa"/>
              <w:right w:w="-1" w:type="dxa"/>
            </w:tcMar>
            <w:vAlign w:val="center"/>
          </w:tcPr>
          <w:p w14:paraId="78916EAF">
            <w:pPr>
              <w:pStyle w:val="28"/>
              <w:snapToGrid w:val="0"/>
              <w:spacing w:line="240" w:lineRule="auto"/>
              <w:ind w:left="0" w:leftChars="0" w:right="0" w:rightChars="0" w:firstLine="0" w:firstLineChars="0"/>
              <w:jc w:val="center"/>
              <w:rPr>
                <w:b/>
              </w:rPr>
            </w:pPr>
            <w:r>
              <w:rPr>
                <w:b/>
              </w:rPr>
              <w:t>单位</w:t>
            </w:r>
          </w:p>
        </w:tc>
      </w:tr>
      <w:tr w14:paraId="28F1713D">
        <w:tblPrEx>
          <w:tblCellMar>
            <w:top w:w="0" w:type="dxa"/>
            <w:left w:w="108" w:type="dxa"/>
            <w:bottom w:w="0" w:type="dxa"/>
            <w:right w:w="108" w:type="dxa"/>
          </w:tblCellMar>
        </w:tblPrEx>
        <w:trPr>
          <w:trHeight w:val="0" w:hRule="atLeast"/>
          <w:jc w:val="center"/>
        </w:trPr>
        <w:tc>
          <w:tcPr>
            <w:tcW w:w="2478" w:type="dxa"/>
            <w:tcBorders>
              <w:top w:val="single" w:color="auto" w:sz="4" w:space="0"/>
              <w:left w:val="nil"/>
              <w:bottom w:val="nil"/>
              <w:right w:val="nil"/>
            </w:tcBorders>
            <w:noWrap w:val="0"/>
            <w:tcMar>
              <w:top w:w="-1" w:type="dxa"/>
              <w:left w:w="-1" w:type="dxa"/>
              <w:bottom w:w="-1" w:type="dxa"/>
              <w:right w:w="-1" w:type="dxa"/>
            </w:tcMar>
            <w:vAlign w:val="center"/>
          </w:tcPr>
          <w:p w14:paraId="20C6FA28">
            <w:pPr>
              <w:pStyle w:val="28"/>
              <w:snapToGrid w:val="0"/>
              <w:spacing w:line="240" w:lineRule="auto"/>
              <w:ind w:left="0" w:leftChars="0" w:right="0" w:rightChars="0" w:firstLine="0" w:firstLineChars="0"/>
              <w:jc w:val="center"/>
            </w:pPr>
            <w:r>
              <w:t>密度</w:t>
            </w:r>
          </w:p>
        </w:tc>
        <w:tc>
          <w:tcPr>
            <w:tcW w:w="1476" w:type="dxa"/>
            <w:tcBorders>
              <w:top w:val="single" w:color="auto" w:sz="4" w:space="0"/>
              <w:left w:val="nil"/>
              <w:bottom w:val="nil"/>
              <w:right w:val="nil"/>
            </w:tcBorders>
            <w:noWrap w:val="0"/>
            <w:tcMar>
              <w:top w:w="-1" w:type="dxa"/>
              <w:left w:w="-1" w:type="dxa"/>
              <w:bottom w:w="-1" w:type="dxa"/>
              <w:right w:w="-1" w:type="dxa"/>
            </w:tcMar>
            <w:vAlign w:val="center"/>
          </w:tcPr>
          <w:p w14:paraId="0CD44911">
            <w:pPr>
              <w:pStyle w:val="28"/>
              <w:snapToGrid w:val="0"/>
              <w:spacing w:line="240" w:lineRule="auto"/>
              <w:ind w:left="0" w:leftChars="0" w:right="0" w:rightChars="0" w:firstLine="0" w:firstLineChars="0"/>
              <w:jc w:val="left"/>
            </w:pPr>
            <m:oMathPara>
              <m:oMath>
                <m:r>
                  <m:rPr/>
                  <m:t>ρ</m:t>
                </m:r>
              </m:oMath>
            </m:oMathPara>
          </w:p>
        </w:tc>
        <w:tc>
          <w:tcPr>
            <w:tcW w:w="2312" w:type="dxa"/>
            <w:tcBorders>
              <w:top w:val="single" w:color="auto" w:sz="4" w:space="0"/>
              <w:left w:val="nil"/>
              <w:bottom w:val="nil"/>
              <w:right w:val="nil"/>
            </w:tcBorders>
            <w:noWrap w:val="0"/>
            <w:tcMar>
              <w:top w:w="-1" w:type="dxa"/>
              <w:left w:w="-1" w:type="dxa"/>
              <w:bottom w:w="-1" w:type="dxa"/>
              <w:right w:w="-1" w:type="dxa"/>
            </w:tcMar>
            <w:vAlign w:val="center"/>
          </w:tcPr>
          <w:p w14:paraId="7C360B1F">
            <w:pPr>
              <w:pStyle w:val="28"/>
              <w:snapToGrid w:val="0"/>
              <w:spacing w:line="240" w:lineRule="auto"/>
              <w:ind w:left="0" w:leftChars="0" w:right="0" w:rightChars="0" w:firstLine="0" w:firstLineChars="0"/>
              <w:jc w:val="left"/>
            </w:pPr>
            <w:r>
              <w:t>7200</w:t>
            </w:r>
          </w:p>
        </w:tc>
        <w:tc>
          <w:tcPr>
            <w:tcW w:w="1654" w:type="dxa"/>
            <w:tcBorders>
              <w:top w:val="single" w:color="auto" w:sz="4" w:space="0"/>
              <w:left w:val="nil"/>
              <w:bottom w:val="nil"/>
              <w:right w:val="nil"/>
            </w:tcBorders>
            <w:noWrap w:val="0"/>
            <w:tcMar>
              <w:top w:w="-1" w:type="dxa"/>
              <w:left w:w="-1" w:type="dxa"/>
              <w:bottom w:w="-1" w:type="dxa"/>
              <w:right w:w="-1" w:type="dxa"/>
            </w:tcMar>
            <w:vAlign w:val="center"/>
          </w:tcPr>
          <w:p w14:paraId="02CAC727">
            <w:pPr>
              <w:pStyle w:val="28"/>
              <w:snapToGrid w:val="0"/>
              <w:spacing w:line="240" w:lineRule="auto"/>
              <w:ind w:left="0" w:leftChars="0" w:right="0" w:rightChars="0" w:firstLine="0" w:firstLineChars="0"/>
              <w:jc w:val="center"/>
            </w:pPr>
            <w:r>
              <w:t>kg/m³</w:t>
            </w:r>
          </w:p>
        </w:tc>
      </w:tr>
      <w:tr w14:paraId="5BC88444">
        <w:tblPrEx>
          <w:tblCellMar>
            <w:top w:w="0" w:type="dxa"/>
            <w:left w:w="108" w:type="dxa"/>
            <w:bottom w:w="0" w:type="dxa"/>
            <w:right w:w="108" w:type="dxa"/>
          </w:tblCellMar>
        </w:tblPrEx>
        <w:trPr>
          <w:trHeight w:val="0" w:hRule="atLeast"/>
          <w:jc w:val="center"/>
        </w:trPr>
        <w:tc>
          <w:tcPr>
            <w:tcW w:w="2478" w:type="dxa"/>
            <w:tcBorders>
              <w:top w:val="nil"/>
              <w:left w:val="nil"/>
              <w:bottom w:val="nil"/>
              <w:right w:val="nil"/>
            </w:tcBorders>
            <w:noWrap w:val="0"/>
            <w:tcMar>
              <w:top w:w="-1" w:type="dxa"/>
              <w:left w:w="-1" w:type="dxa"/>
              <w:bottom w:w="-1" w:type="dxa"/>
              <w:right w:w="-1" w:type="dxa"/>
            </w:tcMar>
            <w:vAlign w:val="center"/>
          </w:tcPr>
          <w:p w14:paraId="2AD241EA">
            <w:pPr>
              <w:pStyle w:val="28"/>
              <w:snapToGrid w:val="0"/>
              <w:spacing w:line="240" w:lineRule="auto"/>
              <w:ind w:left="0" w:leftChars="0" w:right="0" w:rightChars="0" w:firstLine="0" w:firstLineChars="0"/>
              <w:jc w:val="center"/>
            </w:pPr>
            <w:r>
              <w:t>弹性模量</w:t>
            </w:r>
          </w:p>
        </w:tc>
        <w:tc>
          <w:tcPr>
            <w:tcW w:w="1476" w:type="dxa"/>
            <w:tcBorders>
              <w:top w:val="nil"/>
              <w:left w:val="nil"/>
              <w:bottom w:val="nil"/>
              <w:right w:val="nil"/>
            </w:tcBorders>
            <w:noWrap w:val="0"/>
            <w:tcMar>
              <w:top w:w="-1" w:type="dxa"/>
              <w:left w:w="-1" w:type="dxa"/>
              <w:bottom w:w="-1" w:type="dxa"/>
              <w:right w:w="-1" w:type="dxa"/>
            </w:tcMar>
            <w:vAlign w:val="center"/>
          </w:tcPr>
          <w:p w14:paraId="51A9BF22">
            <w:pPr>
              <w:pStyle w:val="28"/>
              <w:snapToGrid w:val="0"/>
              <w:spacing w:line="240" w:lineRule="auto"/>
              <w:ind w:left="0" w:leftChars="0" w:right="0" w:rightChars="0" w:firstLine="0" w:firstLineChars="0"/>
              <w:jc w:val="left"/>
            </w:pPr>
            <m:oMathPara>
              <m:oMath>
                <m:r>
                  <m:rPr/>
                  <m:t>E</m:t>
                </m:r>
              </m:oMath>
            </m:oMathPara>
          </w:p>
        </w:tc>
        <w:tc>
          <w:tcPr>
            <w:tcW w:w="2312" w:type="dxa"/>
            <w:tcBorders>
              <w:top w:val="nil"/>
              <w:left w:val="nil"/>
              <w:bottom w:val="nil"/>
              <w:right w:val="nil"/>
            </w:tcBorders>
            <w:noWrap w:val="0"/>
            <w:tcMar>
              <w:top w:w="-1" w:type="dxa"/>
              <w:left w:w="-1" w:type="dxa"/>
              <w:bottom w:w="-1" w:type="dxa"/>
              <w:right w:w="-1" w:type="dxa"/>
            </w:tcMar>
            <w:vAlign w:val="center"/>
          </w:tcPr>
          <w:p w14:paraId="49D60A88">
            <w:pPr>
              <w:pStyle w:val="28"/>
              <w:snapToGrid w:val="0"/>
              <w:spacing w:line="240" w:lineRule="auto"/>
              <w:ind w:left="0" w:leftChars="0" w:right="0" w:rightChars="0" w:firstLine="0" w:firstLineChars="0"/>
              <w:jc w:val="left"/>
            </w:pPr>
            <m:oMathPara>
              <m:oMath>
                <m:r>
                  <m:rPr/>
                  <m:t>1.1</m:t>
                </m:r>
                <m:r>
                  <m:rPr>
                    <m:sty m:val="p"/>
                  </m:rPr>
                  <m:t>×</m:t>
                </m:r>
                <m:sSup>
                  <m:sSupPr/>
                  <m:e>
                    <m:r>
                      <m:rPr/>
                      <m:t>10</m:t>
                    </m:r>
                  </m:e>
                  <m:sup>
                    <m:r>
                      <m:rPr/>
                      <m:t>11</m:t>
                    </m:r>
                  </m:sup>
                </m:sSup>
              </m:oMath>
            </m:oMathPara>
          </w:p>
        </w:tc>
        <w:tc>
          <w:tcPr>
            <w:tcW w:w="1654" w:type="dxa"/>
            <w:tcBorders>
              <w:top w:val="nil"/>
              <w:left w:val="nil"/>
              <w:bottom w:val="nil"/>
              <w:right w:val="nil"/>
            </w:tcBorders>
            <w:noWrap w:val="0"/>
            <w:tcMar>
              <w:top w:w="-1" w:type="dxa"/>
              <w:left w:w="-1" w:type="dxa"/>
              <w:bottom w:w="-1" w:type="dxa"/>
              <w:right w:w="-1" w:type="dxa"/>
            </w:tcMar>
            <w:vAlign w:val="center"/>
          </w:tcPr>
          <w:p w14:paraId="65A09C3A">
            <w:pPr>
              <w:pStyle w:val="28"/>
              <w:snapToGrid w:val="0"/>
              <w:spacing w:line="240" w:lineRule="auto"/>
              <w:ind w:left="0" w:leftChars="0" w:right="0" w:rightChars="0" w:firstLine="0" w:firstLineChars="0"/>
              <w:jc w:val="center"/>
            </w:pPr>
            <w:r>
              <w:t>Pa</w:t>
            </w:r>
          </w:p>
        </w:tc>
      </w:tr>
      <w:tr w14:paraId="2EE46119">
        <w:tblPrEx>
          <w:tblCellMar>
            <w:top w:w="0" w:type="dxa"/>
            <w:left w:w="108" w:type="dxa"/>
            <w:bottom w:w="0" w:type="dxa"/>
            <w:right w:w="108" w:type="dxa"/>
          </w:tblCellMar>
        </w:tblPrEx>
        <w:trPr>
          <w:trHeight w:val="0" w:hRule="atLeast"/>
          <w:jc w:val="center"/>
        </w:trPr>
        <w:tc>
          <w:tcPr>
            <w:tcW w:w="2478" w:type="dxa"/>
            <w:tcBorders>
              <w:top w:val="nil"/>
              <w:left w:val="nil"/>
              <w:bottom w:val="nil"/>
              <w:right w:val="nil"/>
            </w:tcBorders>
            <w:noWrap w:val="0"/>
            <w:tcMar>
              <w:top w:w="-1" w:type="dxa"/>
              <w:left w:w="-1" w:type="dxa"/>
              <w:bottom w:w="-1" w:type="dxa"/>
              <w:right w:w="-1" w:type="dxa"/>
            </w:tcMar>
            <w:vAlign w:val="center"/>
          </w:tcPr>
          <w:p w14:paraId="6191C6D7">
            <w:pPr>
              <w:pStyle w:val="28"/>
              <w:snapToGrid w:val="0"/>
              <w:spacing w:line="240" w:lineRule="auto"/>
              <w:ind w:left="0" w:leftChars="0" w:right="0" w:rightChars="0" w:firstLine="0" w:firstLineChars="0"/>
              <w:jc w:val="center"/>
            </w:pPr>
            <w:r>
              <w:t>泊松比</w:t>
            </w:r>
          </w:p>
        </w:tc>
        <w:tc>
          <w:tcPr>
            <w:tcW w:w="1476" w:type="dxa"/>
            <w:tcBorders>
              <w:top w:val="nil"/>
              <w:left w:val="nil"/>
              <w:bottom w:val="nil"/>
              <w:right w:val="nil"/>
            </w:tcBorders>
            <w:noWrap w:val="0"/>
            <w:tcMar>
              <w:top w:w="-1" w:type="dxa"/>
              <w:left w:w="-1" w:type="dxa"/>
              <w:bottom w:w="-1" w:type="dxa"/>
              <w:right w:w="-1" w:type="dxa"/>
            </w:tcMar>
            <w:vAlign w:val="center"/>
          </w:tcPr>
          <w:p w14:paraId="1EADDD92">
            <w:pPr>
              <w:pStyle w:val="28"/>
              <w:snapToGrid w:val="0"/>
              <w:spacing w:line="240" w:lineRule="auto"/>
              <w:ind w:left="0" w:leftChars="0" w:right="0" w:rightChars="0" w:firstLine="0" w:firstLineChars="0"/>
              <w:jc w:val="left"/>
            </w:pPr>
            <m:oMathPara>
              <m:oMath>
                <m:r>
                  <m:rPr/>
                  <m:t>μ</m:t>
                </m:r>
              </m:oMath>
            </m:oMathPara>
          </w:p>
        </w:tc>
        <w:tc>
          <w:tcPr>
            <w:tcW w:w="2312" w:type="dxa"/>
            <w:tcBorders>
              <w:top w:val="nil"/>
              <w:left w:val="nil"/>
              <w:bottom w:val="nil"/>
              <w:right w:val="nil"/>
            </w:tcBorders>
            <w:noWrap w:val="0"/>
            <w:tcMar>
              <w:top w:w="-1" w:type="dxa"/>
              <w:left w:w="-1" w:type="dxa"/>
              <w:bottom w:w="-1" w:type="dxa"/>
              <w:right w:w="-1" w:type="dxa"/>
            </w:tcMar>
            <w:vAlign w:val="center"/>
          </w:tcPr>
          <w:p w14:paraId="1538FC75">
            <w:pPr>
              <w:pStyle w:val="28"/>
              <w:snapToGrid w:val="0"/>
              <w:spacing w:line="240" w:lineRule="auto"/>
              <w:ind w:left="0" w:leftChars="0" w:right="0" w:rightChars="0" w:firstLine="0" w:firstLineChars="0"/>
              <w:jc w:val="left"/>
            </w:pPr>
            <w:r>
              <w:t>0.28</w:t>
            </w:r>
          </w:p>
        </w:tc>
        <w:tc>
          <w:tcPr>
            <w:tcW w:w="1654" w:type="dxa"/>
            <w:tcBorders>
              <w:top w:val="nil"/>
              <w:left w:val="nil"/>
              <w:bottom w:val="nil"/>
              <w:right w:val="nil"/>
            </w:tcBorders>
            <w:noWrap w:val="0"/>
            <w:tcMar>
              <w:top w:w="-1" w:type="dxa"/>
              <w:left w:w="-1" w:type="dxa"/>
              <w:bottom w:w="-1" w:type="dxa"/>
              <w:right w:w="-1" w:type="dxa"/>
            </w:tcMar>
            <w:vAlign w:val="center"/>
          </w:tcPr>
          <w:p w14:paraId="604066BB">
            <w:pPr>
              <w:pStyle w:val="28"/>
              <w:snapToGrid w:val="0"/>
              <w:spacing w:line="240" w:lineRule="auto"/>
              <w:ind w:left="0" w:leftChars="0" w:right="0" w:rightChars="0" w:firstLine="0" w:firstLineChars="0"/>
              <w:jc w:val="center"/>
            </w:pPr>
            <w:r>
              <w:t>-</w:t>
            </w:r>
          </w:p>
        </w:tc>
      </w:tr>
      <w:tr w14:paraId="7A93CE6C">
        <w:tblPrEx>
          <w:tblCellMar>
            <w:top w:w="0" w:type="dxa"/>
            <w:left w:w="108" w:type="dxa"/>
            <w:bottom w:w="0" w:type="dxa"/>
            <w:right w:w="108" w:type="dxa"/>
          </w:tblCellMar>
        </w:tblPrEx>
        <w:trPr>
          <w:trHeight w:val="0" w:hRule="atLeast"/>
          <w:jc w:val="center"/>
        </w:trPr>
        <w:tc>
          <w:tcPr>
            <w:tcW w:w="2478" w:type="dxa"/>
            <w:tcBorders>
              <w:top w:val="nil"/>
              <w:left w:val="nil"/>
              <w:bottom w:val="single" w:color="auto" w:sz="12" w:space="0"/>
              <w:right w:val="nil"/>
            </w:tcBorders>
            <w:noWrap w:val="0"/>
            <w:tcMar>
              <w:top w:w="-1" w:type="dxa"/>
              <w:left w:w="-1" w:type="dxa"/>
              <w:bottom w:w="-1" w:type="dxa"/>
              <w:right w:w="-1" w:type="dxa"/>
            </w:tcMar>
            <w:vAlign w:val="center"/>
          </w:tcPr>
          <w:p w14:paraId="74E41FAA">
            <w:pPr>
              <w:pStyle w:val="28"/>
              <w:snapToGrid w:val="0"/>
              <w:spacing w:line="240" w:lineRule="auto"/>
              <w:ind w:left="0" w:leftChars="0" w:right="0" w:rightChars="0" w:firstLine="0" w:firstLineChars="0"/>
              <w:jc w:val="center"/>
            </w:pPr>
            <w:r>
              <w:t>屈服强度</w:t>
            </w:r>
          </w:p>
        </w:tc>
        <w:tc>
          <w:tcPr>
            <w:tcW w:w="1476" w:type="dxa"/>
            <w:tcBorders>
              <w:top w:val="nil"/>
              <w:left w:val="nil"/>
              <w:bottom w:val="single" w:color="auto" w:sz="12" w:space="0"/>
              <w:right w:val="nil"/>
            </w:tcBorders>
            <w:noWrap w:val="0"/>
            <w:tcMar>
              <w:top w:w="-1" w:type="dxa"/>
              <w:left w:w="-1" w:type="dxa"/>
              <w:bottom w:w="-1" w:type="dxa"/>
              <w:right w:w="-1" w:type="dxa"/>
            </w:tcMar>
            <w:vAlign w:val="center"/>
          </w:tcPr>
          <w:p w14:paraId="662386F4">
            <w:pPr>
              <w:pStyle w:val="28"/>
              <w:snapToGrid w:val="0"/>
              <w:spacing w:line="240" w:lineRule="auto"/>
              <w:ind w:left="0" w:leftChars="0" w:right="0" w:rightChars="0" w:firstLine="0" w:firstLineChars="0"/>
              <w:jc w:val="left"/>
            </w:pPr>
            <m:oMathPara>
              <m:oMath>
                <m:sSub>
                  <m:sSubPr/>
                  <m:e>
                    <m:r>
                      <m:rPr/>
                      <m:t>σ</m:t>
                    </m:r>
                  </m:e>
                  <m:sub>
                    <m:r>
                      <m:rPr/>
                      <m:t>s</m:t>
                    </m:r>
                  </m:sub>
                </m:sSub>
              </m:oMath>
            </m:oMathPara>
          </w:p>
        </w:tc>
        <w:tc>
          <w:tcPr>
            <w:tcW w:w="2312" w:type="dxa"/>
            <w:tcBorders>
              <w:top w:val="nil"/>
              <w:left w:val="nil"/>
              <w:bottom w:val="single" w:color="auto" w:sz="12" w:space="0"/>
              <w:right w:val="nil"/>
            </w:tcBorders>
            <w:noWrap w:val="0"/>
            <w:tcMar>
              <w:top w:w="-1" w:type="dxa"/>
              <w:left w:w="-1" w:type="dxa"/>
              <w:bottom w:w="-1" w:type="dxa"/>
              <w:right w:w="-1" w:type="dxa"/>
            </w:tcMar>
            <w:vAlign w:val="center"/>
          </w:tcPr>
          <w:p w14:paraId="020C3BE2">
            <w:pPr>
              <w:pStyle w:val="28"/>
              <w:snapToGrid w:val="0"/>
              <w:spacing w:line="240" w:lineRule="auto"/>
              <w:ind w:left="0" w:leftChars="0" w:right="0" w:rightChars="0" w:firstLine="0" w:firstLineChars="0"/>
              <w:jc w:val="left"/>
            </w:pPr>
            <w:r>
              <w:t>250</w:t>
            </w:r>
          </w:p>
        </w:tc>
        <w:tc>
          <w:tcPr>
            <w:tcW w:w="1654" w:type="dxa"/>
            <w:tcBorders>
              <w:top w:val="nil"/>
              <w:left w:val="nil"/>
              <w:bottom w:val="single" w:color="auto" w:sz="12" w:space="0"/>
              <w:right w:val="nil"/>
            </w:tcBorders>
            <w:noWrap w:val="0"/>
            <w:tcMar>
              <w:top w:w="-1" w:type="dxa"/>
              <w:left w:w="-1" w:type="dxa"/>
              <w:bottom w:w="-1" w:type="dxa"/>
              <w:right w:w="-1" w:type="dxa"/>
            </w:tcMar>
            <w:vAlign w:val="center"/>
          </w:tcPr>
          <w:p w14:paraId="4EDED78F">
            <w:pPr>
              <w:pStyle w:val="28"/>
              <w:snapToGrid w:val="0"/>
              <w:spacing w:line="240" w:lineRule="auto"/>
              <w:ind w:left="0" w:leftChars="0" w:right="0" w:rightChars="0" w:firstLine="0" w:firstLineChars="0"/>
              <w:jc w:val="center"/>
            </w:pPr>
            <w:r>
              <w:t>MPa</w:t>
            </w:r>
          </w:p>
        </w:tc>
      </w:tr>
    </w:tbl>
    <w:p w14:paraId="7EF2881D">
      <w:pPr>
        <w:pStyle w:val="3"/>
        <w:rPr>
          <w:rFonts w:ascii="Times New Roman" w:hAnsi="Times New Roman" w:eastAsia="宋体" w:cs="Times New Roman"/>
          <w:sz w:val="24"/>
          <w:szCs w:val="24"/>
        </w:rPr>
      </w:pPr>
      <w:r>
        <w:rPr>
          <w:rFonts w:ascii="Times New Roman" w:hAnsi="Times New Roman" w:eastAsia="宋体" w:cs="Times New Roman"/>
          <w:sz w:val="24"/>
          <w:szCs w:val="24"/>
        </w:rPr>
        <w:t>在ANSYS中对模型进行网格划分。为了保证计算精度同时兼顾计算效率，采用四面体单元为主的自动网格划分方法，并在螺栓孔和内孔边缘等容易产生应力集中的区域进行了局部网格细化。划分完成后的网格模型如图3-1所示。</w:t>
      </w:r>
    </w:p>
    <w:p w14:paraId="098EBB4D">
      <w:pPr>
        <w:pStyle w:val="40"/>
      </w:pPr>
      <w:r>
        <w:drawing>
          <wp:inline distT="0" distB="0" distL="114300" distR="114300">
            <wp:extent cx="5334000" cy="2727960"/>
            <wp:effectExtent l="0" t="0" r="0" b="0"/>
            <wp:docPr id="56" name="Picture" descr="图3-1 优化前制动盘网格划分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descr="图3-1 优化前制动盘网格划分模型"/>
                    <pic:cNvPicPr>
                      <a:picLocks noChangeAspect="1" noChangeArrowheads="1"/>
                    </pic:cNvPicPr>
                  </pic:nvPicPr>
                  <pic:blipFill>
                    <a:blip r:embed="rId10"/>
                    <a:stretch>
                      <a:fillRect/>
                    </a:stretch>
                  </pic:blipFill>
                  <pic:spPr>
                    <a:xfrm>
                      <a:off x="0" y="0"/>
                      <a:ext cx="5334000" cy="2728246"/>
                    </a:xfrm>
                    <a:prstGeom prst="rect">
                      <a:avLst/>
                    </a:prstGeom>
                    <a:noFill/>
                    <a:ln w="9525">
                      <a:noFill/>
                    </a:ln>
                  </pic:spPr>
                </pic:pic>
              </a:graphicData>
            </a:graphic>
          </wp:inline>
        </w:drawing>
      </w:r>
    </w:p>
    <w:p w14:paraId="008D3752">
      <w:pPr>
        <w:pStyle w:val="78"/>
        <w:widowControl/>
      </w:pPr>
      <w:r>
        <w:t>图3-1 优化前制动盘网格划分模型</w:t>
      </w:r>
    </w:p>
    <w:bookmarkEnd w:id="43"/>
    <w:p w14:paraId="51DC2BBF">
      <w:pPr>
        <w:pStyle w:val="4"/>
        <w:numPr>
          <w:ilvl w:val="0"/>
          <w:numId w:val="10"/>
        </w:numPr>
        <w:ind w:left="0" w:leftChars="0" w:firstLine="0" w:firstLineChars="0"/>
        <w:rPr>
          <w:b w:val="0"/>
          <w:bdr w:val="none" w:sz="0" w:space="0"/>
        </w:rPr>
      </w:pPr>
      <w:bookmarkStart w:id="44" w:name="_Toc18478"/>
      <w:bookmarkStart w:id="45" w:name="边界条件与载荷施加"/>
      <w:r>
        <w:t>边界条件与载荷施加</w:t>
      </w:r>
      <w:bookmarkEnd w:id="44"/>
    </w:p>
    <w:p w14:paraId="233B2C26">
      <w:pPr>
        <w:pStyle w:val="3"/>
        <w:rPr>
          <w:rFonts w:ascii="Times New Roman" w:hAnsi="Times New Roman" w:eastAsia="宋体" w:cs="Times New Roman"/>
          <w:sz w:val="24"/>
          <w:szCs w:val="24"/>
        </w:rPr>
      </w:pPr>
      <w:r>
        <w:rPr>
          <w:rFonts w:ascii="Times New Roman" w:hAnsi="Times New Roman" w:eastAsia="宋体" w:cs="Times New Roman"/>
          <w:sz w:val="24"/>
          <w:szCs w:val="24"/>
        </w:rPr>
        <w:t>在静力学分析中，准确施加边界条件和载荷是保证仿真结果可靠性的关键。</w:t>
      </w:r>
    </w:p>
    <w:p w14:paraId="2A50C652">
      <w:pPr>
        <w:pStyle w:val="3"/>
        <w:rPr>
          <w:rFonts w:ascii="Times New Roman" w:hAnsi="Times New Roman" w:eastAsia="宋体" w:cs="Times New Roman"/>
          <w:sz w:val="24"/>
          <w:szCs w:val="24"/>
        </w:rPr>
      </w:pPr>
      <w:r>
        <w:rPr>
          <w:rFonts w:ascii="Times New Roman" w:hAnsi="Times New Roman" w:eastAsia="宋体" w:cs="Times New Roman"/>
          <w:b/>
          <w:sz w:val="24"/>
          <w:szCs w:val="24"/>
        </w:rPr>
        <w:t>边界条件</w:t>
      </w:r>
      <w:r>
        <w:rPr>
          <w:rFonts w:ascii="Times New Roman" w:hAnsi="Times New Roman" w:eastAsia="宋体" w:cs="Times New Roman"/>
          <w:sz w:val="24"/>
          <w:szCs w:val="24"/>
        </w:rPr>
        <w:t>：制动盘通过6个螺栓固定在轮毂上。因此，在ANSYS中选中这6个直径为 8 mm 的螺栓孔内圆柱面，施加固定支撑约束，限制其在X、Y、Z三个方向的平动和转动自由度。固定支撑边界条件如图3-2所示。</w:t>
      </w:r>
    </w:p>
    <w:p w14:paraId="407A3799">
      <w:pPr>
        <w:pStyle w:val="40"/>
      </w:pPr>
      <w:r>
        <w:drawing>
          <wp:inline distT="0" distB="0" distL="114300" distR="114300">
            <wp:extent cx="5334000" cy="2806065"/>
            <wp:effectExtent l="0" t="0" r="0" b="0"/>
            <wp:docPr id="60" name="Picture" descr="图3-2 优化前制动盘固定支撑边界条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descr="图3-2 优化前制动盘固定支撑边界条件"/>
                    <pic:cNvPicPr>
                      <a:picLocks noChangeAspect="1" noChangeArrowheads="1"/>
                    </pic:cNvPicPr>
                  </pic:nvPicPr>
                  <pic:blipFill>
                    <a:blip r:embed="rId11"/>
                    <a:stretch>
                      <a:fillRect/>
                    </a:stretch>
                  </pic:blipFill>
                  <pic:spPr>
                    <a:xfrm>
                      <a:off x="0" y="0"/>
                      <a:ext cx="5334000" cy="2806196"/>
                    </a:xfrm>
                    <a:prstGeom prst="rect">
                      <a:avLst/>
                    </a:prstGeom>
                    <a:noFill/>
                    <a:ln w="9525">
                      <a:noFill/>
                    </a:ln>
                  </pic:spPr>
                </pic:pic>
              </a:graphicData>
            </a:graphic>
          </wp:inline>
        </w:drawing>
      </w:r>
    </w:p>
    <w:p w14:paraId="1E29B1C5">
      <w:pPr>
        <w:pStyle w:val="78"/>
        <w:widowControl/>
      </w:pPr>
      <w:r>
        <w:t>图3-2 优化前制动盘固定支撑边界条件</w:t>
      </w:r>
    </w:p>
    <w:p w14:paraId="4936B7B0">
      <w:pPr>
        <w:pStyle w:val="3"/>
        <w:rPr>
          <w:rFonts w:ascii="Times New Roman" w:hAnsi="Times New Roman" w:eastAsia="宋体" w:cs="Times New Roman"/>
          <w:sz w:val="24"/>
          <w:szCs w:val="24"/>
        </w:rPr>
      </w:pPr>
      <w:r>
        <w:rPr>
          <w:rFonts w:ascii="Times New Roman" w:hAnsi="Times New Roman" w:eastAsia="宋体" w:cs="Times New Roman"/>
          <w:b/>
          <w:sz w:val="24"/>
          <w:szCs w:val="24"/>
        </w:rPr>
        <w:t>载荷施加</w:t>
      </w:r>
      <w:r>
        <w:rPr>
          <w:rFonts w:ascii="Times New Roman" w:hAnsi="Times New Roman" w:eastAsia="宋体" w:cs="Times New Roman"/>
          <w:sz w:val="24"/>
          <w:szCs w:val="24"/>
        </w:rPr>
        <w:t>：在紧急制动时，制动盘受到制动钳摩擦片施加的巨大夹紧力和摩擦力。为了模拟这一工况，在制动盘的摩擦工作面上施加两个力：轴向夹紧力在Z轴负方向施加 1000 N（分量 0, 0, -1000 N）；切向摩擦力在摩擦面上施加 100 N（分量 0, 0, 100 N），用于模拟制动时的摩擦扭矩效应。载荷施加情况分别如图3-3和图3-4所示。</w:t>
      </w:r>
    </w:p>
    <w:p w14:paraId="18E70283">
      <w:pPr>
        <w:pStyle w:val="40"/>
      </w:pPr>
      <w:r>
        <w:drawing>
          <wp:inline distT="0" distB="0" distL="114300" distR="114300">
            <wp:extent cx="5334000" cy="2553970"/>
            <wp:effectExtent l="0" t="0" r="0" b="0"/>
            <wp:docPr id="63" name="Picture" descr="图3-3 优化前制动盘载荷施加（轴向夹紧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descr="图3-3 优化前制动盘载荷施加（轴向夹紧力）"/>
                    <pic:cNvPicPr>
                      <a:picLocks noChangeAspect="1" noChangeArrowheads="1"/>
                    </pic:cNvPicPr>
                  </pic:nvPicPr>
                  <pic:blipFill>
                    <a:blip r:embed="rId12"/>
                    <a:stretch>
                      <a:fillRect/>
                    </a:stretch>
                  </pic:blipFill>
                  <pic:spPr>
                    <a:xfrm>
                      <a:off x="0" y="0"/>
                      <a:ext cx="5334000" cy="2554597"/>
                    </a:xfrm>
                    <a:prstGeom prst="rect">
                      <a:avLst/>
                    </a:prstGeom>
                    <a:noFill/>
                    <a:ln w="9525">
                      <a:noFill/>
                    </a:ln>
                  </pic:spPr>
                </pic:pic>
              </a:graphicData>
            </a:graphic>
          </wp:inline>
        </w:drawing>
      </w:r>
    </w:p>
    <w:p w14:paraId="529138F9">
      <w:pPr>
        <w:pStyle w:val="78"/>
        <w:widowControl/>
      </w:pPr>
      <w:r>
        <w:t>图3-3 优化前制动盘载荷施加（轴向夹紧力）</w:t>
      </w:r>
    </w:p>
    <w:p w14:paraId="237D4FF5">
      <w:pPr>
        <w:pStyle w:val="40"/>
      </w:pPr>
      <w:r>
        <w:drawing>
          <wp:inline distT="0" distB="0" distL="114300" distR="114300">
            <wp:extent cx="5334000" cy="2610485"/>
            <wp:effectExtent l="0" t="0" r="0" b="0"/>
            <wp:docPr id="66" name="Picture" descr="图3-4 优化前制动盘载荷施加（切向摩擦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descr="图3-4 优化前制动盘载荷施加（切向摩擦力）"/>
                    <pic:cNvPicPr>
                      <a:picLocks noChangeAspect="1" noChangeArrowheads="1"/>
                    </pic:cNvPicPr>
                  </pic:nvPicPr>
                  <pic:blipFill>
                    <a:blip r:embed="rId13"/>
                    <a:stretch>
                      <a:fillRect/>
                    </a:stretch>
                  </pic:blipFill>
                  <pic:spPr>
                    <a:xfrm>
                      <a:off x="0" y="0"/>
                      <a:ext cx="5334000" cy="2611000"/>
                    </a:xfrm>
                    <a:prstGeom prst="rect">
                      <a:avLst/>
                    </a:prstGeom>
                    <a:noFill/>
                    <a:ln w="9525">
                      <a:noFill/>
                    </a:ln>
                  </pic:spPr>
                </pic:pic>
              </a:graphicData>
            </a:graphic>
          </wp:inline>
        </w:drawing>
      </w:r>
    </w:p>
    <w:p w14:paraId="23F705DE">
      <w:pPr>
        <w:pStyle w:val="78"/>
        <w:widowControl/>
      </w:pPr>
      <w:r>
        <w:t>图3-4 优化前制动盘载荷施加（切向摩擦力）</w:t>
      </w:r>
    </w:p>
    <w:bookmarkEnd w:id="45"/>
    <w:p w14:paraId="28DD8C29">
      <w:pPr>
        <w:pStyle w:val="4"/>
        <w:numPr>
          <w:ilvl w:val="0"/>
          <w:numId w:val="10"/>
        </w:numPr>
        <w:ind w:left="0" w:leftChars="0" w:firstLine="0" w:firstLineChars="0"/>
        <w:rPr>
          <w:b w:val="0"/>
          <w:bdr w:val="none" w:sz="0" w:space="0"/>
        </w:rPr>
      </w:pPr>
      <w:bookmarkStart w:id="46" w:name="_Toc22361"/>
      <w:bookmarkStart w:id="47" w:name="静力学分析结果与评价"/>
      <w:r>
        <w:t>静力学分析结果与评价</w:t>
      </w:r>
      <w:bookmarkEnd w:id="46"/>
    </w:p>
    <w:p w14:paraId="017494A6">
      <w:pPr>
        <w:pStyle w:val="3"/>
        <w:rPr>
          <w:rFonts w:ascii="Times New Roman" w:hAnsi="Times New Roman" w:eastAsia="宋体" w:cs="Times New Roman"/>
          <w:sz w:val="24"/>
          <w:szCs w:val="24"/>
        </w:rPr>
      </w:pPr>
      <w:r>
        <w:rPr>
          <w:rFonts w:ascii="Times New Roman" w:hAnsi="Times New Roman" w:eastAsia="宋体" w:cs="Times New Roman"/>
          <w:sz w:val="24"/>
          <w:szCs w:val="24"/>
        </w:rPr>
        <w:t>提交求解后，ANSYS计算出了制动盘在给定载荷下的总变形、等效弹性应变和等效Von-Mises应力分布。</w:t>
      </w:r>
    </w:p>
    <w:p w14:paraId="705F8341">
      <w:pPr>
        <w:pStyle w:val="5"/>
        <w:numPr>
          <w:ilvl w:val="0"/>
          <w:numId w:val="11"/>
        </w:numPr>
        <w:ind w:left="0" w:leftChars="0" w:firstLine="0" w:firstLineChars="0"/>
        <w:rPr>
          <w:b w:val="0"/>
          <w:bdr w:val="none" w:sz="0" w:space="0"/>
        </w:rPr>
      </w:pPr>
      <w:bookmarkStart w:id="48" w:name="_Toc10387"/>
      <w:bookmarkStart w:id="49" w:name="总变形分析"/>
      <w:r>
        <w:t>总变形分析</w:t>
      </w:r>
      <w:bookmarkEnd w:id="48"/>
    </w:p>
    <w:p w14:paraId="0EEF3854">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从总变形云图可以看出，制动盘的最大变形发生在圆盘的外边缘区域，最大变形量为 </w:t>
      </w:r>
      <m:oMath>
        <m:r>
          <w:rPr>
            <w:rFonts w:ascii="Times New Roman" w:hAnsi="Times New Roman" w:eastAsia="宋体" w:cs="Times New Roman"/>
            <w:sz w:val="24"/>
            <w:szCs w:val="24"/>
          </w:rPr>
          <m:t>7.0874</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6</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t>
        </m:r>
      </m:oMath>
      <w:r>
        <w:rPr>
          <w:rFonts w:ascii="Times New Roman" w:hAnsi="Times New Roman" w:eastAsia="宋体" w:cs="Times New Roman"/>
          <w:sz w:val="24"/>
          <w:szCs w:val="24"/>
        </w:rPr>
        <w:t>（约 7.09 μm），最小变形为 0。这是因为外边缘距离固定支撑点（螺栓孔）最远，刚度相对较弱。该变形量极小，完全在允许的弹性变形范围内，不会对制动盘的正常工作产生任何影响。总变形云图如图3-5和图3-6所示。</w:t>
      </w:r>
    </w:p>
    <w:p w14:paraId="23365645">
      <w:pPr>
        <w:pStyle w:val="40"/>
      </w:pPr>
      <w:r>
        <w:drawing>
          <wp:inline distT="0" distB="0" distL="114300" distR="114300">
            <wp:extent cx="5334000" cy="2640330"/>
            <wp:effectExtent l="0" t="0" r="0" b="0"/>
            <wp:docPr id="70" name="Picture" descr="图3-5 优化前制动盘总变形云图（正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descr="图3-5 优化前制动盘总变形云图（正面视角）"/>
                    <pic:cNvPicPr>
                      <a:picLocks noChangeAspect="1" noChangeArrowheads="1"/>
                    </pic:cNvPicPr>
                  </pic:nvPicPr>
                  <pic:blipFill>
                    <a:blip r:embed="rId14"/>
                    <a:stretch>
                      <a:fillRect/>
                    </a:stretch>
                  </pic:blipFill>
                  <pic:spPr>
                    <a:xfrm>
                      <a:off x="0" y="0"/>
                      <a:ext cx="5334000" cy="2640489"/>
                    </a:xfrm>
                    <a:prstGeom prst="rect">
                      <a:avLst/>
                    </a:prstGeom>
                    <a:noFill/>
                    <a:ln w="9525">
                      <a:noFill/>
                    </a:ln>
                  </pic:spPr>
                </pic:pic>
              </a:graphicData>
            </a:graphic>
          </wp:inline>
        </w:drawing>
      </w:r>
    </w:p>
    <w:p w14:paraId="7ACB85C3">
      <w:pPr>
        <w:pStyle w:val="78"/>
        <w:widowControl/>
      </w:pPr>
      <w:r>
        <w:t>图3-5 优化前制动盘总变形云图（正面视角）</w:t>
      </w:r>
    </w:p>
    <w:p w14:paraId="62A5928C">
      <w:pPr>
        <w:pStyle w:val="40"/>
      </w:pPr>
      <w:r>
        <w:drawing>
          <wp:inline distT="0" distB="0" distL="114300" distR="114300">
            <wp:extent cx="5334000" cy="2835275"/>
            <wp:effectExtent l="0" t="0" r="0" b="0"/>
            <wp:docPr id="73" name="Picture" descr="图3-6 优化前制动盘总变形云图（侧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descr="图3-6 优化前制动盘总变形云图（侧面视角）"/>
                    <pic:cNvPicPr>
                      <a:picLocks noChangeAspect="1" noChangeArrowheads="1"/>
                    </pic:cNvPicPr>
                  </pic:nvPicPr>
                  <pic:blipFill>
                    <a:blip r:embed="rId15"/>
                    <a:stretch>
                      <a:fillRect/>
                    </a:stretch>
                  </pic:blipFill>
                  <pic:spPr>
                    <a:xfrm>
                      <a:off x="0" y="0"/>
                      <a:ext cx="5334000" cy="2835656"/>
                    </a:xfrm>
                    <a:prstGeom prst="rect">
                      <a:avLst/>
                    </a:prstGeom>
                    <a:noFill/>
                    <a:ln w="9525">
                      <a:noFill/>
                    </a:ln>
                  </pic:spPr>
                </pic:pic>
              </a:graphicData>
            </a:graphic>
          </wp:inline>
        </w:drawing>
      </w:r>
    </w:p>
    <w:p w14:paraId="12C1F985">
      <w:pPr>
        <w:pStyle w:val="78"/>
        <w:widowControl/>
      </w:pPr>
      <w:r>
        <w:t>图3-6 优化前制动盘总变形云图（侧面视角）</w:t>
      </w:r>
    </w:p>
    <w:bookmarkEnd w:id="49"/>
    <w:p w14:paraId="52A9C472">
      <w:pPr>
        <w:pStyle w:val="5"/>
        <w:numPr>
          <w:ilvl w:val="0"/>
          <w:numId w:val="11"/>
        </w:numPr>
        <w:ind w:left="0" w:leftChars="0" w:firstLine="0" w:firstLineChars="0"/>
        <w:rPr>
          <w:b w:val="0"/>
          <w:bdr w:val="none" w:sz="0" w:space="0"/>
        </w:rPr>
      </w:pPr>
      <w:bookmarkStart w:id="50" w:name="_Toc9703"/>
      <w:bookmarkStart w:id="51" w:name="等效弹性应变分析"/>
      <w:r>
        <w:t>等效弹性应变分析</w:t>
      </w:r>
      <w:bookmarkEnd w:id="50"/>
    </w:p>
    <w:p w14:paraId="2130579D">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制动盘的最大等效弹性应变为 </w:t>
      </w:r>
      <m:oMath>
        <m:r>
          <w:rPr>
            <w:rFonts w:ascii="Times New Roman" w:hAnsi="Times New Roman" w:eastAsia="宋体" w:cs="Times New Roman"/>
            <w:sz w:val="24"/>
            <w:szCs w:val="24"/>
          </w:rPr>
          <m:t>2.7061</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 xml:space="preserve">，最小值为 </w:t>
      </w:r>
      <m:oMath>
        <m:r>
          <w:rPr>
            <w:rFonts w:ascii="Times New Roman" w:hAnsi="Times New Roman" w:eastAsia="宋体" w:cs="Times New Roman"/>
            <w:sz w:val="24"/>
            <w:szCs w:val="24"/>
          </w:rPr>
          <m:t>6.8987</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。应变主要集中在螺栓安装孔附近及内圈过渡区域，这是由于这些位置存在几何不连续性导致的应力集中效应。等效弹性应变云图如图3-7和图3-8所示。</w:t>
      </w:r>
    </w:p>
    <w:p w14:paraId="096A926B">
      <w:pPr>
        <w:pStyle w:val="40"/>
      </w:pPr>
      <w:r>
        <w:drawing>
          <wp:inline distT="0" distB="0" distL="114300" distR="114300">
            <wp:extent cx="5334000" cy="2673985"/>
            <wp:effectExtent l="0" t="0" r="0" b="0"/>
            <wp:docPr id="77" name="Picture" descr="图3-7 优化前制动盘等效弹性应变云图（正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descr="图3-7 优化前制动盘等效弹性应变云图（正面视角）"/>
                    <pic:cNvPicPr>
                      <a:picLocks noChangeAspect="1" noChangeArrowheads="1"/>
                    </pic:cNvPicPr>
                  </pic:nvPicPr>
                  <pic:blipFill>
                    <a:blip r:embed="rId16"/>
                    <a:stretch>
                      <a:fillRect/>
                    </a:stretch>
                  </pic:blipFill>
                  <pic:spPr>
                    <a:xfrm>
                      <a:off x="0" y="0"/>
                      <a:ext cx="5334000" cy="2674159"/>
                    </a:xfrm>
                    <a:prstGeom prst="rect">
                      <a:avLst/>
                    </a:prstGeom>
                    <a:noFill/>
                    <a:ln w="9525">
                      <a:noFill/>
                    </a:ln>
                  </pic:spPr>
                </pic:pic>
              </a:graphicData>
            </a:graphic>
          </wp:inline>
        </w:drawing>
      </w:r>
    </w:p>
    <w:p w14:paraId="6CD6BA6D">
      <w:pPr>
        <w:pStyle w:val="78"/>
        <w:widowControl/>
      </w:pPr>
      <w:r>
        <w:t>图3-7 优化前制动盘等效弹性应变云图（正面视角）</w:t>
      </w:r>
    </w:p>
    <w:p w14:paraId="4EF0B0DC">
      <w:pPr>
        <w:pStyle w:val="40"/>
      </w:pPr>
      <w:r>
        <w:drawing>
          <wp:inline distT="0" distB="0" distL="114300" distR="114300">
            <wp:extent cx="5334000" cy="2788285"/>
            <wp:effectExtent l="0" t="0" r="0" b="0"/>
            <wp:docPr id="80" name="Picture" descr="图3-8 优化前制动盘等效弹性应变云图（侧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descr="图3-8 优化前制动盘等效弹性应变云图（侧面视角）"/>
                    <pic:cNvPicPr>
                      <a:picLocks noChangeAspect="1" noChangeArrowheads="1"/>
                    </pic:cNvPicPr>
                  </pic:nvPicPr>
                  <pic:blipFill>
                    <a:blip r:embed="rId17"/>
                    <a:stretch>
                      <a:fillRect/>
                    </a:stretch>
                  </pic:blipFill>
                  <pic:spPr>
                    <a:xfrm>
                      <a:off x="0" y="0"/>
                      <a:ext cx="5334000" cy="2788730"/>
                    </a:xfrm>
                    <a:prstGeom prst="rect">
                      <a:avLst/>
                    </a:prstGeom>
                    <a:noFill/>
                    <a:ln w="9525">
                      <a:noFill/>
                    </a:ln>
                  </pic:spPr>
                </pic:pic>
              </a:graphicData>
            </a:graphic>
          </wp:inline>
        </w:drawing>
      </w:r>
    </w:p>
    <w:p w14:paraId="3747C7C8">
      <w:pPr>
        <w:pStyle w:val="78"/>
        <w:widowControl/>
      </w:pPr>
      <w:r>
        <w:t>图3-8 优化前制动盘等效弹性应变云图（侧面视角）</w:t>
      </w:r>
    </w:p>
    <w:bookmarkEnd w:id="51"/>
    <w:p w14:paraId="2625596C">
      <w:pPr>
        <w:pStyle w:val="5"/>
        <w:numPr>
          <w:ilvl w:val="0"/>
          <w:numId w:val="11"/>
        </w:numPr>
        <w:ind w:left="0" w:leftChars="0" w:firstLine="0" w:firstLineChars="0"/>
        <w:rPr>
          <w:b w:val="0"/>
          <w:bdr w:val="none" w:sz="0" w:space="0"/>
        </w:rPr>
      </w:pPr>
      <w:bookmarkStart w:id="52" w:name="_Toc21328"/>
      <w:bookmarkStart w:id="53" w:name="等效von-mises应力分析"/>
      <w:r>
        <w:t>等效Von-Mises应力分析</w:t>
      </w:r>
      <w:bookmarkEnd w:id="52"/>
    </w:p>
    <w:p w14:paraId="5E523B9C">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从等效应力云图可以看出，最大应力出现在螺栓孔内侧边缘，其值为 </w:t>
      </w:r>
      <m:oMath>
        <m:r>
          <w:rPr>
            <w:rFonts w:ascii="Times New Roman" w:hAnsi="Times New Roman" w:eastAsia="宋体" w:cs="Times New Roman"/>
            <w:sz w:val="24"/>
            <w:szCs w:val="24"/>
          </w:rPr>
          <m:t>3.8565</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w:rPr>
                <w:rFonts w:ascii="Times New Roman" w:hAnsi="Times New Roman" w:eastAsia="宋体" w:cs="Times New Roman"/>
                <w:sz w:val="24"/>
                <w:szCs w:val="24"/>
              </w:rPr>
              <m:t>6</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Pa</m:t>
        </m:r>
      </m:oMath>
      <w:r>
        <w:rPr>
          <w:rFonts w:ascii="Times New Roman" w:hAnsi="Times New Roman" w:eastAsia="宋体" w:cs="Times New Roman"/>
          <w:sz w:val="24"/>
          <w:szCs w:val="24"/>
        </w:rPr>
        <w:t>（约 3.86 MPa），最小应力为 38586 Pa（约 0.039 MPa）。由于该最大值远小于灰铸铁 HT250 的屈服强度 250 MPa，安全系数高达 64.8 倍，说明初始设计的制动盘具有极大的安全裕度，存在明显的材料冗余，这为后续的轻量化拓扑优化提供了广阔的空间。等效应力云图如图3-9和图3-10所示。</w:t>
      </w:r>
    </w:p>
    <w:p w14:paraId="51CB2989">
      <w:pPr>
        <w:pStyle w:val="40"/>
      </w:pPr>
      <w:r>
        <w:drawing>
          <wp:inline distT="0" distB="0" distL="114300" distR="114300">
            <wp:extent cx="5334000" cy="3578225"/>
            <wp:effectExtent l="0" t="0" r="0" b="0"/>
            <wp:docPr id="84" name="Picture" descr="图3-9 优化前制动盘等效Von-Mises应力云图（正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descr="图3-9 优化前制动盘等效Von-Mises应力云图（正面视角）"/>
                    <pic:cNvPicPr>
                      <a:picLocks noChangeAspect="1" noChangeArrowheads="1"/>
                    </pic:cNvPicPr>
                  </pic:nvPicPr>
                  <pic:blipFill>
                    <a:blip r:embed="rId18"/>
                    <a:stretch>
                      <a:fillRect/>
                    </a:stretch>
                  </pic:blipFill>
                  <pic:spPr>
                    <a:xfrm>
                      <a:off x="0" y="0"/>
                      <a:ext cx="5334000" cy="3578722"/>
                    </a:xfrm>
                    <a:prstGeom prst="rect">
                      <a:avLst/>
                    </a:prstGeom>
                    <a:noFill/>
                    <a:ln w="9525">
                      <a:noFill/>
                    </a:ln>
                  </pic:spPr>
                </pic:pic>
              </a:graphicData>
            </a:graphic>
          </wp:inline>
        </w:drawing>
      </w:r>
    </w:p>
    <w:p w14:paraId="66417723">
      <w:pPr>
        <w:pStyle w:val="78"/>
        <w:widowControl/>
      </w:pPr>
      <w:r>
        <w:t>图3-9 优化前制动盘等效Von-Mises应力云图（正面视角）</w:t>
      </w:r>
    </w:p>
    <w:p w14:paraId="23EF5215">
      <w:pPr>
        <w:pStyle w:val="40"/>
      </w:pPr>
      <w:r>
        <w:drawing>
          <wp:inline distT="0" distB="0" distL="114300" distR="114300">
            <wp:extent cx="5334000" cy="2868930"/>
            <wp:effectExtent l="0" t="0" r="0" b="0"/>
            <wp:docPr id="87" name="Picture" descr="图3-10 优化前制动盘等效Von-Mises应力云图（侧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descr="图3-10 优化前制动盘等效Von-Mises应力云图（侧面视角）"/>
                    <pic:cNvPicPr>
                      <a:picLocks noChangeAspect="1" noChangeArrowheads="1"/>
                    </pic:cNvPicPr>
                  </pic:nvPicPr>
                  <pic:blipFill>
                    <a:blip r:embed="rId19"/>
                    <a:stretch>
                      <a:fillRect/>
                    </a:stretch>
                  </pic:blipFill>
                  <pic:spPr>
                    <a:xfrm>
                      <a:off x="0" y="0"/>
                      <a:ext cx="5334000" cy="2869556"/>
                    </a:xfrm>
                    <a:prstGeom prst="rect">
                      <a:avLst/>
                    </a:prstGeom>
                    <a:noFill/>
                    <a:ln w="9525">
                      <a:noFill/>
                    </a:ln>
                  </pic:spPr>
                </pic:pic>
              </a:graphicData>
            </a:graphic>
          </wp:inline>
        </w:drawing>
      </w:r>
    </w:p>
    <w:p w14:paraId="5647B117">
      <w:pPr>
        <w:pStyle w:val="78"/>
        <w:widowControl/>
      </w:pPr>
      <w:r>
        <w:t>图3-10 优化前制动盘等效Von-Mises应力云图（侧面视角）</w:t>
      </w:r>
    </w:p>
    <w:bookmarkEnd w:id="47"/>
    <w:bookmarkEnd w:id="53"/>
    <w:p w14:paraId="12A6E791">
      <w:pPr>
        <w:pStyle w:val="4"/>
        <w:numPr>
          <w:ilvl w:val="0"/>
          <w:numId w:val="10"/>
        </w:numPr>
        <w:ind w:left="0" w:leftChars="0" w:firstLine="0" w:firstLineChars="0"/>
        <w:rPr>
          <w:b w:val="0"/>
          <w:bdr w:val="none" w:sz="0" w:space="0"/>
        </w:rPr>
      </w:pPr>
      <w:bookmarkStart w:id="54" w:name="_Toc12692"/>
      <w:bookmarkStart w:id="55" w:name="模态分析"/>
      <w:r>
        <w:t>模态分析</w:t>
      </w:r>
      <w:bookmarkEnd w:id="54"/>
    </w:p>
    <w:p w14:paraId="303394BF">
      <w:pPr>
        <w:pStyle w:val="3"/>
        <w:rPr>
          <w:rFonts w:ascii="Times New Roman" w:hAnsi="Times New Roman" w:eastAsia="宋体" w:cs="Times New Roman"/>
          <w:sz w:val="24"/>
          <w:szCs w:val="24"/>
        </w:rPr>
      </w:pPr>
      <w:r>
        <w:rPr>
          <w:rFonts w:ascii="Times New Roman" w:hAnsi="Times New Roman" w:eastAsia="宋体" w:cs="Times New Roman"/>
          <w:sz w:val="24"/>
          <w:szCs w:val="24"/>
        </w:rPr>
        <w:t>制动盘在工作过程中容易受到路面激励和摩擦激振而产生振动，如果激励频率与制动盘的固有频率接近，就会引发共振，产生严重的制动尖叫噪声并加速疲劳破坏。因此，在Workbench中建立模态分析系统，提取制动盘的前6阶固有频率和振型。</w:t>
      </w:r>
    </w:p>
    <w:p w14:paraId="06E2B21C">
      <w:pPr>
        <w:pStyle w:val="3"/>
        <w:rPr>
          <w:rFonts w:ascii="Times New Roman" w:hAnsi="Times New Roman" w:eastAsia="宋体" w:cs="Times New Roman"/>
          <w:sz w:val="24"/>
          <w:szCs w:val="24"/>
        </w:rPr>
      </w:pPr>
      <w:r>
        <w:rPr>
          <w:rFonts w:ascii="Times New Roman" w:hAnsi="Times New Roman" w:eastAsia="宋体" w:cs="Times New Roman"/>
          <w:sz w:val="24"/>
          <w:szCs w:val="24"/>
        </w:rPr>
        <w:t>模态分析结果如下表所示：</w:t>
      </w:r>
    </w:p>
    <w:tbl>
      <w:tblPr>
        <w:tblStyle w:val="34"/>
        <w:tblW w:w="7920" w:type="dxa"/>
        <w:jc w:val="center"/>
        <w:tblLayout w:type="autofit"/>
        <w:tblCellMar>
          <w:top w:w="0" w:type="dxa"/>
          <w:left w:w="108" w:type="dxa"/>
          <w:bottom w:w="0" w:type="dxa"/>
          <w:right w:w="108" w:type="dxa"/>
        </w:tblCellMar>
      </w:tblPr>
      <w:tblGrid>
        <w:gridCol w:w="1252"/>
        <w:gridCol w:w="2877"/>
        <w:gridCol w:w="3791"/>
      </w:tblGrid>
      <w:tr w14:paraId="07E8CE1E">
        <w:tblPrEx>
          <w:tblCellMar>
            <w:top w:w="0" w:type="dxa"/>
            <w:left w:w="108" w:type="dxa"/>
            <w:bottom w:w="0" w:type="dxa"/>
            <w:right w:w="108" w:type="dxa"/>
          </w:tblCellMar>
        </w:tblPrEx>
        <w:trPr>
          <w:trHeight w:val="0" w:hRule="atLeast"/>
          <w:tblHeader/>
          <w:jc w:val="center"/>
        </w:trPr>
        <w:tc>
          <w:tcPr>
            <w:tcW w:w="125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9B13377">
            <w:pPr>
              <w:pStyle w:val="28"/>
              <w:snapToGrid w:val="0"/>
              <w:spacing w:line="240" w:lineRule="auto"/>
              <w:ind w:left="0" w:leftChars="0" w:right="0" w:rightChars="0" w:firstLine="0" w:firstLineChars="0"/>
              <w:jc w:val="center"/>
              <w:rPr>
                <w:b/>
              </w:rPr>
            </w:pPr>
            <w:r>
              <w:rPr>
                <w:b/>
              </w:rPr>
              <w:t>阶数</w:t>
            </w:r>
          </w:p>
        </w:tc>
        <w:tc>
          <w:tcPr>
            <w:tcW w:w="287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7EE7943">
            <w:pPr>
              <w:pStyle w:val="28"/>
              <w:snapToGrid w:val="0"/>
              <w:spacing w:line="240" w:lineRule="auto"/>
              <w:ind w:left="0" w:leftChars="0" w:right="0" w:rightChars="0" w:firstLine="0" w:firstLineChars="0"/>
              <w:jc w:val="center"/>
              <w:rPr>
                <w:b/>
              </w:rPr>
            </w:pPr>
            <w:r>
              <w:rPr>
                <w:b/>
              </w:rPr>
              <w:t>固有频率(Hz)</w:t>
            </w:r>
          </w:p>
        </w:tc>
        <w:tc>
          <w:tcPr>
            <w:tcW w:w="3790"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2347C616">
            <w:pPr>
              <w:pStyle w:val="28"/>
              <w:snapToGrid w:val="0"/>
              <w:spacing w:line="240" w:lineRule="auto"/>
              <w:ind w:left="0" w:leftChars="0" w:right="0" w:rightChars="0" w:firstLine="0" w:firstLineChars="0"/>
              <w:jc w:val="center"/>
              <w:rPr>
                <w:b/>
              </w:rPr>
            </w:pPr>
            <w:r>
              <w:rPr>
                <w:b/>
              </w:rPr>
              <w:t>振型特征</w:t>
            </w:r>
          </w:p>
        </w:tc>
      </w:tr>
      <w:tr w14:paraId="528489A7">
        <w:tblPrEx>
          <w:tblCellMar>
            <w:top w:w="0" w:type="dxa"/>
            <w:left w:w="108" w:type="dxa"/>
            <w:bottom w:w="0" w:type="dxa"/>
            <w:right w:w="108" w:type="dxa"/>
          </w:tblCellMar>
        </w:tblPrEx>
        <w:trPr>
          <w:trHeight w:val="0" w:hRule="atLeast"/>
          <w:jc w:val="center"/>
        </w:trPr>
        <w:tc>
          <w:tcPr>
            <w:tcW w:w="125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FE9BD45">
            <w:pPr>
              <w:pStyle w:val="28"/>
              <w:snapToGrid w:val="0"/>
              <w:spacing w:line="240" w:lineRule="auto"/>
              <w:ind w:left="0" w:leftChars="0" w:right="0" w:rightChars="0" w:firstLine="0" w:firstLineChars="0"/>
              <w:jc w:val="center"/>
            </w:pPr>
            <w:r>
              <w:t>1</w:t>
            </w:r>
          </w:p>
        </w:tc>
        <w:tc>
          <w:tcPr>
            <w:tcW w:w="287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B3793FE">
            <w:pPr>
              <w:pStyle w:val="28"/>
              <w:snapToGrid w:val="0"/>
              <w:spacing w:line="240" w:lineRule="auto"/>
              <w:ind w:left="0" w:leftChars="0" w:right="0" w:rightChars="0" w:firstLine="0" w:firstLineChars="0"/>
              <w:jc w:val="center"/>
            </w:pPr>
            <w:r>
              <w:t>0</w:t>
            </w:r>
          </w:p>
        </w:tc>
        <w:tc>
          <w:tcPr>
            <w:tcW w:w="3790"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0A03BADD">
            <w:pPr>
              <w:pStyle w:val="28"/>
              <w:snapToGrid w:val="0"/>
              <w:spacing w:line="240" w:lineRule="auto"/>
              <w:ind w:left="0" w:leftChars="0" w:right="0" w:rightChars="0" w:firstLine="0" w:firstLineChars="0"/>
              <w:jc w:val="center"/>
            </w:pPr>
            <w:r>
              <w:t>刚体模态</w:t>
            </w:r>
          </w:p>
        </w:tc>
      </w:tr>
      <w:tr w14:paraId="24CA1C11">
        <w:tblPrEx>
          <w:tblCellMar>
            <w:top w:w="0" w:type="dxa"/>
            <w:left w:w="108" w:type="dxa"/>
            <w:bottom w:w="0" w:type="dxa"/>
            <w:right w:w="108" w:type="dxa"/>
          </w:tblCellMar>
        </w:tblPrEx>
        <w:trPr>
          <w:trHeight w:val="0" w:hRule="atLeast"/>
          <w:jc w:val="center"/>
        </w:trPr>
        <w:tc>
          <w:tcPr>
            <w:tcW w:w="125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5DC8342">
            <w:pPr>
              <w:pStyle w:val="28"/>
              <w:snapToGrid w:val="0"/>
              <w:spacing w:line="240" w:lineRule="auto"/>
              <w:ind w:left="0" w:leftChars="0" w:right="0" w:rightChars="0" w:firstLine="0" w:firstLineChars="0"/>
              <w:jc w:val="center"/>
            </w:pPr>
            <w:r>
              <w:t>2</w:t>
            </w:r>
          </w:p>
        </w:tc>
        <w:tc>
          <w:tcPr>
            <w:tcW w:w="287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C3D94A9">
            <w:pPr>
              <w:pStyle w:val="28"/>
              <w:snapToGrid w:val="0"/>
              <w:spacing w:line="240" w:lineRule="auto"/>
              <w:ind w:left="0" w:leftChars="0" w:right="0" w:rightChars="0" w:firstLine="0" w:firstLineChars="0"/>
              <w:jc w:val="center"/>
            </w:pPr>
            <w:r>
              <w:t>0</w:t>
            </w:r>
          </w:p>
        </w:tc>
        <w:tc>
          <w:tcPr>
            <w:tcW w:w="3790"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6D5BD10B">
            <w:pPr>
              <w:pStyle w:val="28"/>
              <w:snapToGrid w:val="0"/>
              <w:spacing w:line="240" w:lineRule="auto"/>
              <w:ind w:left="0" w:leftChars="0" w:right="0" w:rightChars="0" w:firstLine="0" w:firstLineChars="0"/>
              <w:jc w:val="center"/>
            </w:pPr>
            <w:r>
              <w:t>刚体模态</w:t>
            </w:r>
          </w:p>
        </w:tc>
      </w:tr>
      <w:tr w14:paraId="3703F4AC">
        <w:tblPrEx>
          <w:tblCellMar>
            <w:top w:w="0" w:type="dxa"/>
            <w:left w:w="108" w:type="dxa"/>
            <w:bottom w:w="0" w:type="dxa"/>
            <w:right w:w="108" w:type="dxa"/>
          </w:tblCellMar>
        </w:tblPrEx>
        <w:trPr>
          <w:trHeight w:val="0" w:hRule="atLeast"/>
          <w:jc w:val="center"/>
        </w:trPr>
        <w:tc>
          <w:tcPr>
            <w:tcW w:w="125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1392E7D">
            <w:pPr>
              <w:pStyle w:val="28"/>
              <w:snapToGrid w:val="0"/>
              <w:spacing w:line="240" w:lineRule="auto"/>
              <w:ind w:left="0" w:leftChars="0" w:right="0" w:rightChars="0" w:firstLine="0" w:firstLineChars="0"/>
              <w:jc w:val="center"/>
            </w:pPr>
            <w:r>
              <w:t>3</w:t>
            </w:r>
          </w:p>
        </w:tc>
        <w:tc>
          <w:tcPr>
            <w:tcW w:w="287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499C86B3">
            <w:pPr>
              <w:pStyle w:val="28"/>
              <w:snapToGrid w:val="0"/>
              <w:spacing w:line="240" w:lineRule="auto"/>
              <w:ind w:left="0" w:leftChars="0" w:right="0" w:rightChars="0" w:firstLine="0" w:firstLineChars="0"/>
              <w:jc w:val="center"/>
            </w:pPr>
            <w:r>
              <w:t>0</w:t>
            </w:r>
          </w:p>
        </w:tc>
        <w:tc>
          <w:tcPr>
            <w:tcW w:w="3790"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68A35F5B">
            <w:pPr>
              <w:pStyle w:val="28"/>
              <w:snapToGrid w:val="0"/>
              <w:spacing w:line="240" w:lineRule="auto"/>
              <w:ind w:left="0" w:leftChars="0" w:right="0" w:rightChars="0" w:firstLine="0" w:firstLineChars="0"/>
              <w:jc w:val="center"/>
            </w:pPr>
            <w:r>
              <w:t>刚体模态</w:t>
            </w:r>
          </w:p>
        </w:tc>
      </w:tr>
      <w:tr w14:paraId="4AF690CA">
        <w:tblPrEx>
          <w:tblCellMar>
            <w:top w:w="0" w:type="dxa"/>
            <w:left w:w="108" w:type="dxa"/>
            <w:bottom w:w="0" w:type="dxa"/>
            <w:right w:w="108" w:type="dxa"/>
          </w:tblCellMar>
        </w:tblPrEx>
        <w:trPr>
          <w:trHeight w:val="0" w:hRule="atLeast"/>
          <w:jc w:val="center"/>
        </w:trPr>
        <w:tc>
          <w:tcPr>
            <w:tcW w:w="125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723B499">
            <w:pPr>
              <w:pStyle w:val="28"/>
              <w:snapToGrid w:val="0"/>
              <w:spacing w:line="240" w:lineRule="auto"/>
              <w:ind w:left="0" w:leftChars="0" w:right="0" w:rightChars="0" w:firstLine="0" w:firstLineChars="0"/>
              <w:jc w:val="center"/>
            </w:pPr>
            <w:r>
              <w:t>4</w:t>
            </w:r>
          </w:p>
        </w:tc>
        <w:tc>
          <w:tcPr>
            <w:tcW w:w="287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1F3BC64">
            <w:pPr>
              <w:pStyle w:val="28"/>
              <w:snapToGrid w:val="0"/>
              <w:spacing w:line="240" w:lineRule="auto"/>
              <w:ind w:left="0" w:leftChars="0" w:right="0" w:rightChars="0" w:firstLine="0" w:firstLineChars="0"/>
              <w:jc w:val="center"/>
            </w:pPr>
            <m:oMathPara>
              <m:oMath>
                <m:r>
                  <m:rPr/>
                  <m:t>3.5531</m:t>
                </m:r>
                <m:r>
                  <m:rPr>
                    <m:sty m:val="p"/>
                  </m:rPr>
                  <m:t>×</m:t>
                </m:r>
                <m:sSup>
                  <m:sSupPr/>
                  <m:e>
                    <m:r>
                      <m:rPr/>
                      <m:t>10</m:t>
                    </m:r>
                  </m:e>
                  <m:sup>
                    <m:r>
                      <m:rPr>
                        <m:sty m:val="p"/>
                      </m:rPr>
                      <m:t>−</m:t>
                    </m:r>
                    <m:r>
                      <m:rPr/>
                      <m:t>3</m:t>
                    </m:r>
                  </m:sup>
                </m:sSup>
              </m:oMath>
            </m:oMathPara>
          </w:p>
        </w:tc>
        <w:tc>
          <w:tcPr>
            <w:tcW w:w="3790"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5DF64790">
            <w:pPr>
              <w:pStyle w:val="28"/>
              <w:snapToGrid w:val="0"/>
              <w:spacing w:line="240" w:lineRule="auto"/>
              <w:ind w:left="0" w:leftChars="0" w:right="0" w:rightChars="0" w:firstLine="0" w:firstLineChars="0"/>
              <w:jc w:val="center"/>
            </w:pPr>
            <w:r>
              <w:t>盘面弯曲变形</w:t>
            </w:r>
          </w:p>
        </w:tc>
      </w:tr>
      <w:tr w14:paraId="6001D4D1">
        <w:tblPrEx>
          <w:tblCellMar>
            <w:top w:w="0" w:type="dxa"/>
            <w:left w:w="108" w:type="dxa"/>
            <w:bottom w:w="0" w:type="dxa"/>
            <w:right w:w="108" w:type="dxa"/>
          </w:tblCellMar>
        </w:tblPrEx>
        <w:trPr>
          <w:trHeight w:val="0" w:hRule="atLeast"/>
          <w:jc w:val="center"/>
        </w:trPr>
        <w:tc>
          <w:tcPr>
            <w:tcW w:w="125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39529D6">
            <w:pPr>
              <w:pStyle w:val="28"/>
              <w:snapToGrid w:val="0"/>
              <w:spacing w:line="240" w:lineRule="auto"/>
              <w:ind w:left="0" w:leftChars="0" w:right="0" w:rightChars="0" w:firstLine="0" w:firstLineChars="0"/>
              <w:jc w:val="center"/>
            </w:pPr>
            <w:r>
              <w:t>5</w:t>
            </w:r>
          </w:p>
        </w:tc>
        <w:tc>
          <w:tcPr>
            <w:tcW w:w="2877"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5F37F8C">
            <w:pPr>
              <w:pStyle w:val="28"/>
              <w:snapToGrid w:val="0"/>
              <w:spacing w:line="240" w:lineRule="auto"/>
              <w:ind w:left="0" w:leftChars="0" w:right="0" w:rightChars="0" w:firstLine="0" w:firstLineChars="0"/>
              <w:jc w:val="center"/>
            </w:pPr>
            <m:oMathPara>
              <m:oMath>
                <m:r>
                  <m:rPr/>
                  <m:t>6.5339</m:t>
                </m:r>
                <m:r>
                  <m:rPr>
                    <m:sty m:val="p"/>
                  </m:rPr>
                  <m:t>×</m:t>
                </m:r>
                <m:sSup>
                  <m:sSupPr/>
                  <m:e>
                    <m:r>
                      <m:rPr/>
                      <m:t>10</m:t>
                    </m:r>
                  </m:e>
                  <m:sup>
                    <m:r>
                      <m:rPr>
                        <m:sty m:val="p"/>
                      </m:rPr>
                      <m:t>−</m:t>
                    </m:r>
                    <m:r>
                      <m:rPr/>
                      <m:t>3</m:t>
                    </m:r>
                  </m:sup>
                </m:sSup>
              </m:oMath>
            </m:oMathPara>
          </w:p>
        </w:tc>
        <w:tc>
          <w:tcPr>
            <w:tcW w:w="3790"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623A5274">
            <w:pPr>
              <w:pStyle w:val="28"/>
              <w:snapToGrid w:val="0"/>
              <w:spacing w:line="240" w:lineRule="auto"/>
              <w:ind w:left="0" w:leftChars="0" w:right="0" w:rightChars="0" w:firstLine="0" w:firstLineChars="0"/>
              <w:jc w:val="center"/>
            </w:pPr>
            <w:r>
              <w:t>盘面扭转变形</w:t>
            </w:r>
          </w:p>
        </w:tc>
      </w:tr>
      <w:tr w14:paraId="2E3306DE">
        <w:tblPrEx>
          <w:tblCellMar>
            <w:top w:w="0" w:type="dxa"/>
            <w:left w:w="108" w:type="dxa"/>
            <w:bottom w:w="0" w:type="dxa"/>
            <w:right w:w="108" w:type="dxa"/>
          </w:tblCellMar>
        </w:tblPrEx>
        <w:trPr>
          <w:trHeight w:val="0" w:hRule="atLeast"/>
          <w:jc w:val="center"/>
        </w:trPr>
        <w:tc>
          <w:tcPr>
            <w:tcW w:w="1252"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33B1466C">
            <w:pPr>
              <w:pStyle w:val="28"/>
              <w:snapToGrid w:val="0"/>
              <w:spacing w:line="240" w:lineRule="auto"/>
              <w:ind w:left="0" w:leftChars="0" w:right="0" w:rightChars="0" w:firstLine="0" w:firstLineChars="0"/>
              <w:jc w:val="center"/>
            </w:pPr>
            <w:r>
              <w:t>6</w:t>
            </w:r>
          </w:p>
        </w:tc>
        <w:tc>
          <w:tcPr>
            <w:tcW w:w="2877"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2B79A053">
            <w:pPr>
              <w:pStyle w:val="28"/>
              <w:snapToGrid w:val="0"/>
              <w:spacing w:line="240" w:lineRule="auto"/>
              <w:ind w:left="0" w:leftChars="0" w:right="0" w:rightChars="0" w:firstLine="0" w:firstLineChars="0"/>
              <w:jc w:val="center"/>
            </w:pPr>
            <m:oMathPara>
              <m:oMath>
                <m:r>
                  <m:rPr/>
                  <m:t>9.7199</m:t>
                </m:r>
                <m:r>
                  <m:rPr>
                    <m:sty m:val="p"/>
                  </m:rPr>
                  <m:t>×</m:t>
                </m:r>
                <m:sSup>
                  <m:sSupPr/>
                  <m:e>
                    <m:r>
                      <m:rPr/>
                      <m:t>10</m:t>
                    </m:r>
                  </m:e>
                  <m:sup>
                    <m:r>
                      <m:rPr>
                        <m:sty m:val="p"/>
                      </m:rPr>
                      <m:t>−</m:t>
                    </m:r>
                    <m:r>
                      <m:rPr/>
                      <m:t>3</m:t>
                    </m:r>
                  </m:sup>
                </m:sSup>
              </m:oMath>
            </m:oMathPara>
          </w:p>
        </w:tc>
        <w:tc>
          <w:tcPr>
            <w:tcW w:w="379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B306359">
            <w:pPr>
              <w:pStyle w:val="28"/>
              <w:snapToGrid w:val="0"/>
              <w:spacing w:line="240" w:lineRule="auto"/>
              <w:ind w:left="0" w:leftChars="0" w:right="0" w:rightChars="0" w:firstLine="0" w:firstLineChars="0"/>
              <w:jc w:val="center"/>
            </w:pPr>
            <w:r>
              <w:t>盘面复合弯扭变形</w:t>
            </w:r>
          </w:p>
        </w:tc>
      </w:tr>
    </w:tbl>
    <w:p w14:paraId="189CD45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前3阶频率接近于0，这是由于模型在自由状态下的刚体模态。第4、5、6阶的固有频率分别为 </w:t>
      </w:r>
      <m:oMath>
        <m:r>
          <w:rPr>
            <w:rFonts w:ascii="Times New Roman" w:hAnsi="Times New Roman" w:eastAsia="宋体" w:cs="Times New Roman"/>
            <w:sz w:val="24"/>
            <w:szCs w:val="24"/>
          </w:rPr>
          <m:t>3.5531</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Hz</m:t>
        </m:r>
      </m:oMath>
      <w:r>
        <w:rPr>
          <w:rFonts w:ascii="Times New Roman" w:hAnsi="Times New Roman" w:eastAsia="宋体" w:cs="Times New Roman"/>
          <w:sz w:val="24"/>
          <w:szCs w:val="24"/>
        </w:rPr>
        <w:t>、</w:t>
      </w:r>
      <m:oMath>
        <m:r>
          <w:rPr>
            <w:rFonts w:ascii="Times New Roman" w:hAnsi="Times New Roman" w:eastAsia="宋体" w:cs="Times New Roman"/>
            <w:sz w:val="24"/>
            <w:szCs w:val="24"/>
          </w:rPr>
          <m:t>6.5339</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Hz</m:t>
        </m:r>
      </m:oMath>
      <w:r>
        <w:rPr>
          <w:rFonts w:ascii="Times New Roman" w:hAnsi="Times New Roman" w:eastAsia="宋体" w:cs="Times New Roman"/>
          <w:sz w:val="24"/>
          <w:szCs w:val="24"/>
        </w:rPr>
        <w:t xml:space="preserve"> 和 </w:t>
      </w:r>
      <m:oMath>
        <m:r>
          <w:rPr>
            <w:rFonts w:ascii="Times New Roman" w:hAnsi="Times New Roman" w:eastAsia="宋体" w:cs="Times New Roman"/>
            <w:sz w:val="24"/>
            <w:szCs w:val="24"/>
          </w:rPr>
          <m:t>9.7199</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Hz</m:t>
        </m:r>
      </m:oMath>
      <w:r>
        <w:rPr>
          <w:rFonts w:ascii="Times New Roman" w:hAnsi="Times New Roman" w:eastAsia="宋体" w:cs="Times New Roman"/>
          <w:sz w:val="24"/>
          <w:szCs w:val="24"/>
        </w:rPr>
        <w:t>。对应的各阶模态振型主要表现为盘面的弯曲和扭转变形。模态频率列表和部分振型云图分别如图3-11至图3-14所示。</w:t>
      </w:r>
    </w:p>
    <w:p w14:paraId="2C203465">
      <w:pPr>
        <w:pStyle w:val="40"/>
      </w:pPr>
      <w:r>
        <w:drawing>
          <wp:inline distT="0" distB="0" distL="114300" distR="114300">
            <wp:extent cx="5334000" cy="1038860"/>
            <wp:effectExtent l="0" t="0" r="0" b="0"/>
            <wp:docPr id="92" name="Picture" descr="图3-11 优化前制动盘模态频率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descr="图3-11 优化前制动盘模态频率列表"/>
                    <pic:cNvPicPr>
                      <a:picLocks noChangeAspect="1" noChangeArrowheads="1"/>
                    </pic:cNvPicPr>
                  </pic:nvPicPr>
                  <pic:blipFill>
                    <a:blip r:embed="rId20"/>
                    <a:stretch>
                      <a:fillRect/>
                    </a:stretch>
                  </pic:blipFill>
                  <pic:spPr>
                    <a:xfrm>
                      <a:off x="0" y="0"/>
                      <a:ext cx="5334000" cy="1039090"/>
                    </a:xfrm>
                    <a:prstGeom prst="rect">
                      <a:avLst/>
                    </a:prstGeom>
                    <a:noFill/>
                    <a:ln w="9525">
                      <a:noFill/>
                    </a:ln>
                  </pic:spPr>
                </pic:pic>
              </a:graphicData>
            </a:graphic>
          </wp:inline>
        </w:drawing>
      </w:r>
    </w:p>
    <w:p w14:paraId="6271AE86">
      <w:pPr>
        <w:pStyle w:val="78"/>
        <w:widowControl/>
      </w:pPr>
      <w:r>
        <w:t>图3-11 优化前制动盘模态频率列表</w:t>
      </w:r>
    </w:p>
    <w:p w14:paraId="52FECF7B">
      <w:pPr>
        <w:pStyle w:val="40"/>
      </w:pPr>
      <w:r>
        <w:drawing>
          <wp:inline distT="0" distB="0" distL="114300" distR="114300">
            <wp:extent cx="5334000" cy="2750820"/>
            <wp:effectExtent l="0" t="0" r="0" b="0"/>
            <wp:docPr id="95" name="Picture" descr="图3-12 优化前制动盘第1阶模态振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descr="图3-12 优化前制动盘第1阶模态振型"/>
                    <pic:cNvPicPr>
                      <a:picLocks noChangeAspect="1" noChangeArrowheads="1"/>
                    </pic:cNvPicPr>
                  </pic:nvPicPr>
                  <pic:blipFill>
                    <a:blip r:embed="rId21"/>
                    <a:stretch>
                      <a:fillRect/>
                    </a:stretch>
                  </pic:blipFill>
                  <pic:spPr>
                    <a:xfrm>
                      <a:off x="0" y="0"/>
                      <a:ext cx="5334000" cy="2750867"/>
                    </a:xfrm>
                    <a:prstGeom prst="rect">
                      <a:avLst/>
                    </a:prstGeom>
                    <a:noFill/>
                    <a:ln w="9525">
                      <a:noFill/>
                    </a:ln>
                  </pic:spPr>
                </pic:pic>
              </a:graphicData>
            </a:graphic>
          </wp:inline>
        </w:drawing>
      </w:r>
    </w:p>
    <w:p w14:paraId="43647E0A">
      <w:pPr>
        <w:pStyle w:val="78"/>
        <w:widowControl/>
      </w:pPr>
      <w:r>
        <w:t>图3-12 优化前制动盘第1阶模态振型</w:t>
      </w:r>
    </w:p>
    <w:p w14:paraId="1BEF00EB">
      <w:pPr>
        <w:pStyle w:val="40"/>
      </w:pPr>
      <w:r>
        <w:drawing>
          <wp:inline distT="0" distB="0" distL="114300" distR="114300">
            <wp:extent cx="5334000" cy="2650490"/>
            <wp:effectExtent l="0" t="0" r="0" b="0"/>
            <wp:docPr id="98" name="Picture" descr="图3-13 优化前制动盘第4阶模态振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descr="图3-13 优化前制动盘第4阶模态振型"/>
                    <pic:cNvPicPr>
                      <a:picLocks noChangeAspect="1" noChangeArrowheads="1"/>
                    </pic:cNvPicPr>
                  </pic:nvPicPr>
                  <pic:blipFill>
                    <a:blip r:embed="rId22"/>
                    <a:stretch>
                      <a:fillRect/>
                    </a:stretch>
                  </pic:blipFill>
                  <pic:spPr>
                    <a:xfrm>
                      <a:off x="0" y="0"/>
                      <a:ext cx="5334000" cy="2651093"/>
                    </a:xfrm>
                    <a:prstGeom prst="rect">
                      <a:avLst/>
                    </a:prstGeom>
                    <a:noFill/>
                    <a:ln w="9525">
                      <a:noFill/>
                    </a:ln>
                  </pic:spPr>
                </pic:pic>
              </a:graphicData>
            </a:graphic>
          </wp:inline>
        </w:drawing>
      </w:r>
    </w:p>
    <w:p w14:paraId="2F3E6717">
      <w:pPr>
        <w:pStyle w:val="78"/>
        <w:widowControl/>
      </w:pPr>
      <w:r>
        <w:t>图3-13 优化前制动盘第4阶模态振型</w:t>
      </w:r>
    </w:p>
    <w:p w14:paraId="7214ED29">
      <w:pPr>
        <w:pStyle w:val="40"/>
      </w:pPr>
      <w:r>
        <w:drawing>
          <wp:inline distT="0" distB="0" distL="114300" distR="114300">
            <wp:extent cx="5334000" cy="2567305"/>
            <wp:effectExtent l="0" t="0" r="0" b="0"/>
            <wp:docPr id="101" name="Picture" descr="图3-14 优化前制动盘第6阶模态振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descr="图3-14 优化前制动盘第6阶模态振型"/>
                    <pic:cNvPicPr>
                      <a:picLocks noChangeAspect="1" noChangeArrowheads="1"/>
                    </pic:cNvPicPr>
                  </pic:nvPicPr>
                  <pic:blipFill>
                    <a:blip r:embed="rId23"/>
                    <a:stretch>
                      <a:fillRect/>
                    </a:stretch>
                  </pic:blipFill>
                  <pic:spPr>
                    <a:xfrm>
                      <a:off x="0" y="0"/>
                      <a:ext cx="5334000" cy="2567835"/>
                    </a:xfrm>
                    <a:prstGeom prst="rect">
                      <a:avLst/>
                    </a:prstGeom>
                    <a:noFill/>
                    <a:ln w="9525">
                      <a:noFill/>
                    </a:ln>
                  </pic:spPr>
                </pic:pic>
              </a:graphicData>
            </a:graphic>
          </wp:inline>
        </w:drawing>
      </w:r>
    </w:p>
    <w:p w14:paraId="6E32C8FC">
      <w:pPr>
        <w:pStyle w:val="78"/>
        <w:widowControl/>
      </w:pPr>
      <w:r>
        <w:t>图3-14 优化前制动盘第6阶模态振型</w:t>
      </w:r>
    </w:p>
    <w:bookmarkEnd w:id="55"/>
    <w:p w14:paraId="7AA72314">
      <w:pPr>
        <w:pStyle w:val="4"/>
        <w:numPr>
          <w:ilvl w:val="0"/>
          <w:numId w:val="10"/>
        </w:numPr>
        <w:ind w:left="0" w:leftChars="0" w:firstLine="0" w:firstLineChars="0"/>
      </w:pPr>
      <w:bookmarkStart w:id="56" w:name="_Toc7997"/>
      <w:bookmarkStart w:id="57" w:name="本章小结-1"/>
      <w:r>
        <w:t>本章小结</w:t>
      </w:r>
      <w:bookmarkEnd w:id="56"/>
    </w:p>
    <w:p w14:paraId="53B05663">
      <w:pPr>
        <w:pStyle w:val="3"/>
        <w:rPr>
          <w:rFonts w:ascii="Times New Roman" w:hAnsi="Times New Roman" w:eastAsia="宋体" w:cs="Times New Roman"/>
          <w:sz w:val="24"/>
          <w:szCs w:val="24"/>
        </w:rPr>
      </w:pPr>
      <w:r>
        <w:rPr>
          <w:rFonts w:ascii="Times New Roman" w:hAnsi="Times New Roman" w:eastAsia="宋体" w:cs="Times New Roman"/>
          <w:sz w:val="24"/>
          <w:szCs w:val="24"/>
        </w:rPr>
        <w:t>本章利用ANSYS Workbench软件对优化前的实心制动盘进行了有限元静力学和模态分析。静力学结果表明，在模拟的紧急制动工况下，制动盘的最大等效应力仅为 3.86 MPa，远低于材料的屈服强度 250 MPa，安全系数高达 64.8 倍，结构设计偏于保守，存在较大的减重潜力。模态分析提取了前6阶固有频率和振型，揭示了制动盘的动态特性。这些分析结果不仅验证了初始设计的安全性，也为下一章的拓扑优化和轻量化设计指明了方向。</w:t>
      </w:r>
    </w:p>
    <w:bookmarkEnd w:id="41"/>
    <w:bookmarkEnd w:id="57"/>
    <w:p w14:paraId="0CC49AB0">
      <w:pPr>
        <w:pStyle w:val="2"/>
        <w:numPr>
          <w:ilvl w:val="0"/>
          <w:numId w:val="1"/>
        </w:numPr>
        <w:ind w:left="0" w:leftChars="0" w:firstLine="0" w:firstLineChars="0"/>
        <w:rPr>
          <w:b w:val="0"/>
          <w:bdr w:val="none" w:sz="0" w:space="0"/>
        </w:rPr>
      </w:pPr>
      <w:bookmarkStart w:id="58" w:name="_Toc18707"/>
      <w:bookmarkStart w:id="59" w:name="第四章-基于ansys的制动盘拓扑优化设计"/>
      <w:r>
        <w:br w:type="page"/>
      </w:r>
      <w:r>
        <w:t>基于ANSYS的制动盘拓扑优化设计</w:t>
      </w:r>
      <w:bookmarkEnd w:id="58"/>
    </w:p>
    <w:p w14:paraId="72538AFD">
      <w:pPr>
        <w:pStyle w:val="3"/>
        <w:rPr>
          <w:rFonts w:ascii="Times New Roman" w:hAnsi="Times New Roman" w:eastAsia="宋体" w:cs="Times New Roman"/>
          <w:sz w:val="24"/>
          <w:szCs w:val="24"/>
        </w:rPr>
      </w:pPr>
      <w:r>
        <w:rPr>
          <w:rFonts w:ascii="Times New Roman" w:hAnsi="Times New Roman" w:eastAsia="宋体" w:cs="Times New Roman"/>
          <w:sz w:val="24"/>
          <w:szCs w:val="24"/>
        </w:rPr>
        <w:t>针对上一章有限元分析暴露出的制动盘材料冗余问题，本章引入拓扑优化技术，在保证结构刚度和强度的前提下，寻找最佳的材料分布方案，实现制动盘的轻量化设计。</w:t>
      </w:r>
    </w:p>
    <w:p w14:paraId="10BD5E1B">
      <w:pPr>
        <w:pStyle w:val="4"/>
        <w:numPr>
          <w:ilvl w:val="0"/>
          <w:numId w:val="12"/>
        </w:numPr>
        <w:ind w:left="0" w:leftChars="0" w:firstLine="0" w:firstLineChars="0"/>
        <w:rPr>
          <w:b w:val="0"/>
          <w:bdr w:val="none" w:sz="0" w:space="0"/>
        </w:rPr>
      </w:pPr>
      <w:bookmarkStart w:id="60" w:name="_Toc3730"/>
      <w:bookmarkStart w:id="61" w:name="拓扑优化理论基础"/>
      <w:r>
        <w:t>拓扑优化理论基础</w:t>
      </w:r>
      <w:bookmarkEnd w:id="60"/>
    </w:p>
    <w:p w14:paraId="16E416C9">
      <w:pPr>
        <w:pStyle w:val="3"/>
        <w:rPr>
          <w:rFonts w:ascii="Times New Roman" w:hAnsi="Times New Roman" w:eastAsia="宋体" w:cs="Times New Roman"/>
          <w:sz w:val="24"/>
          <w:szCs w:val="24"/>
        </w:rPr>
      </w:pPr>
      <w:r>
        <w:rPr>
          <w:rFonts w:ascii="Times New Roman" w:hAnsi="Times New Roman" w:eastAsia="宋体" w:cs="Times New Roman"/>
          <w:sz w:val="24"/>
          <w:szCs w:val="24"/>
        </w:rPr>
        <w:t>拓扑优化是一种在给定的设计空间内，根据已知的载荷、约束条件和性能指标，寻找材料最优分布的数学方法。本设计采用变密度法（SIMP，Solid Isotropic Material with Penalization），将单元的相对密度作为设计变量。</w:t>
      </w:r>
    </w:p>
    <w:p w14:paraId="5D52532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SIMP方法的核心思想是将每个有限元单元的材料密度 </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作为连续设计变量，取值范围为 </w:t>
      </w:r>
      <m:oMath>
        <m:r>
          <w:rPr>
            <w:rFonts w:ascii="Times New Roman" w:hAnsi="Times New Roman" w:eastAsia="宋体" w:cs="Times New Roman"/>
            <w:sz w:val="24"/>
            <w:szCs w:val="24"/>
          </w:rPr>
          <m:t>0</m:t>
        </m:r>
        <m:r>
          <m:rPr>
            <m:sty m:val="p"/>
          </m:rPr>
          <w:rPr>
            <w:rFonts w:ascii="Times New Roman" w:hAnsi="Times New Roman" w:eastAsia="宋体" w:cs="Times New Roman"/>
            <w:sz w:val="24"/>
            <w:szCs w:val="24"/>
          </w:rPr>
          <m:t>&lt;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min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oMath>
      <w:r>
        <w:rPr>
          <w:rFonts w:ascii="Times New Roman" w:hAnsi="Times New Roman" w:eastAsia="宋体" w:cs="Times New Roman"/>
          <w:sz w:val="24"/>
          <w:szCs w:val="24"/>
        </w:rPr>
        <w:t xml:space="preserve">。单元的弹性模量通过惩罚因子 </w:t>
      </w:r>
      <m:oMath>
        <m:r>
          <w:rPr>
            <w:rFonts w:ascii="Times New Roman" w:hAnsi="Times New Roman" w:eastAsia="宋体" w:cs="Times New Roman"/>
            <w:sz w:val="24"/>
            <w:szCs w:val="24"/>
          </w:rPr>
          <m:t>p</m:t>
        </m:r>
      </m:oMath>
      <w:r>
        <w:rPr>
          <w:rFonts w:ascii="Times New Roman" w:hAnsi="Times New Roman" w:eastAsia="宋体" w:cs="Times New Roman"/>
          <w:sz w:val="24"/>
          <w:szCs w:val="24"/>
        </w:rPr>
        <w:t xml:space="preserve"> 与密度关联：</w:t>
      </w:r>
    </w:p>
    <w:p w14:paraId="4B60C41C">
      <w:pPr>
        <w:pStyle w:val="3"/>
        <w:rPr>
          <w:rFonts w:ascii="Times New Roman" w:hAnsi="Times New Roman" w:eastAsia="宋体" w:cs="Times New Roman"/>
          <w:sz w:val="24"/>
          <w:szCs w:val="24"/>
        </w:rPr>
      </w:pPr>
      <m:oMathPara>
        <m:oMathParaPr>
          <m:jc m:val="center"/>
        </m:oMathParaP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E</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Sup>
            <m:sSubSupPr>
              <m:ctrlPr>
                <w:rPr>
                  <w:rFonts w:ascii="Cambria Math" w:hAnsi="Cambria Math" w:eastAsia="宋体" w:cs="Times New Roman"/>
                  <w:sz w:val="24"/>
                  <w:szCs w:val="24"/>
                </w:rPr>
              </m:ctrlPr>
            </m:sSubSup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up>
              <m:r>
                <w:rPr>
                  <w:rFonts w:ascii="Times New Roman" w:hAnsi="Times New Roman" w:eastAsia="宋体" w:cs="Times New Roman"/>
                  <w:sz w:val="24"/>
                  <w:szCs w:val="24"/>
                </w:rPr>
                <m:t>p</m:t>
              </m:r>
              <m:ctrlPr>
                <w:rPr>
                  <w:rFonts w:ascii="Cambria Math" w:hAnsi="Cambria Math" w:eastAsia="宋体" w:cs="Times New Roman"/>
                  <w:sz w:val="24"/>
                  <w:szCs w:val="24"/>
                </w:rPr>
              </m:ctrlPr>
            </m:sup>
          </m:sSubSup>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E</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m:oMathPara>
    </w:p>
    <w:p w14:paraId="25948A12">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E</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为第 </w:t>
      </w:r>
      <m:oMath>
        <m:r>
          <w:rPr>
            <w:rFonts w:ascii="Times New Roman" w:hAnsi="Times New Roman" w:eastAsia="宋体" w:cs="Times New Roman"/>
            <w:sz w:val="24"/>
            <w:szCs w:val="24"/>
          </w:rPr>
          <m:t>i</m:t>
        </m:r>
      </m:oMath>
      <w:r>
        <w:rPr>
          <w:rFonts w:ascii="Times New Roman" w:hAnsi="Times New Roman" w:eastAsia="宋体" w:cs="Times New Roman"/>
          <w:sz w:val="24"/>
          <w:szCs w:val="24"/>
        </w:rPr>
        <w:t xml:space="preserve"> 个单元的弹性模量；</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为第 </w:t>
      </w:r>
      <m:oMath>
        <m:r>
          <w:rPr>
            <w:rFonts w:ascii="Times New Roman" w:hAnsi="Times New Roman" w:eastAsia="宋体" w:cs="Times New Roman"/>
            <w:sz w:val="24"/>
            <w:szCs w:val="24"/>
          </w:rPr>
          <m:t>i</m:t>
        </m:r>
      </m:oMath>
      <w:r>
        <w:rPr>
          <w:rFonts w:ascii="Times New Roman" w:hAnsi="Times New Roman" w:eastAsia="宋体" w:cs="Times New Roman"/>
          <w:sz w:val="24"/>
          <w:szCs w:val="24"/>
        </w:rPr>
        <w:t xml:space="preserve"> 个单元的伪密度；</w:t>
      </w:r>
      <m:oMath>
        <m:r>
          <w:rPr>
            <w:rFonts w:ascii="Times New Roman" w:hAnsi="Times New Roman" w:eastAsia="宋体" w:cs="Times New Roman"/>
            <w:sz w:val="24"/>
            <w:szCs w:val="24"/>
          </w:rPr>
          <m:t>p</m:t>
        </m:r>
      </m:oMath>
      <w:r>
        <w:rPr>
          <w:rFonts w:ascii="Times New Roman" w:hAnsi="Times New Roman" w:eastAsia="宋体" w:cs="Times New Roman"/>
          <w:sz w:val="24"/>
          <w:szCs w:val="24"/>
        </w:rPr>
        <w:t xml:space="preserve"> 为惩罚因子，通常取 </w:t>
      </w:r>
      <m:oMath>
        <m:r>
          <w:rPr>
            <w:rFonts w:ascii="Times New Roman" w:hAnsi="Times New Roman" w:eastAsia="宋体" w:cs="Times New Roman"/>
            <w:sz w:val="24"/>
            <w:szCs w:val="24"/>
          </w:rPr>
          <m:t>p</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3</m:t>
        </m:r>
      </m:oMath>
      <w:r>
        <w:rPr>
          <w:rFonts w:ascii="Times New Roman" w:hAnsi="Times New Roman" w:eastAsia="宋体" w:cs="Times New Roman"/>
          <w:sz w:val="24"/>
          <w:szCs w:val="24"/>
        </w:rPr>
        <w:t>；</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E</m:t>
            </m:r>
            <m:ctrlPr>
              <w:rPr>
                <w:rFonts w:ascii="Cambria Math" w:hAnsi="Cambria Math" w:eastAsia="宋体" w:cs="Times New Roman"/>
                <w:sz w:val="24"/>
                <w:szCs w:val="24"/>
              </w:rPr>
            </m:ctrlPr>
          </m:e>
          <m:sub>
            <m:r>
              <w:rPr>
                <w:rFonts w:ascii="Times New Roman" w:hAnsi="Times New Roman" w:eastAsia="宋体" w:cs="Times New Roman"/>
                <w:sz w:val="24"/>
                <w:szCs w:val="24"/>
              </w:rPr>
              <m:t>0</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为基体材料的弹性模量。</w:t>
      </w:r>
    </w:p>
    <w:p w14:paraId="6A1F1C0F">
      <w:pPr>
        <w:pStyle w:val="3"/>
        <w:rPr>
          <w:rFonts w:ascii="Times New Roman" w:hAnsi="Times New Roman" w:eastAsia="宋体" w:cs="Times New Roman"/>
          <w:sz w:val="24"/>
          <w:szCs w:val="24"/>
        </w:rPr>
      </w:pPr>
      <w:r>
        <w:rPr>
          <w:rFonts w:ascii="Times New Roman" w:hAnsi="Times New Roman" w:eastAsia="宋体" w:cs="Times New Roman"/>
          <w:sz w:val="24"/>
          <w:szCs w:val="24"/>
        </w:rPr>
        <w:t>拓扑优化的数学模型可表示为：</w:t>
      </w:r>
    </w:p>
    <w:p w14:paraId="780195D8">
      <w:pPr>
        <w:pStyle w:val="3"/>
        <w:rPr>
          <w:rFonts w:ascii="Times New Roman" w:hAnsi="Times New Roman" w:eastAsia="宋体" w:cs="Times New Roman"/>
          <w:sz w:val="24"/>
          <w:szCs w:val="24"/>
        </w:rPr>
      </w:pPr>
      <m:oMathPara>
        <m:oMathParaPr>
          <m:jc m:val="center"/>
        </m:oMathParaPr>
        <m:oMath>
          <m:limLow>
            <m:limLowPr>
              <m:ctrlPr>
                <w:rPr>
                  <w:rFonts w:ascii="Cambria Math" w:hAnsi="Cambria Math" w:eastAsia="宋体" w:cs="Times New Roman"/>
                  <w:sz w:val="24"/>
                  <w:szCs w:val="24"/>
                </w:rPr>
              </m:ctrlPr>
            </m:limLowPr>
            <m:e>
              <m:r>
                <m:rPr>
                  <m:sty m:val="p"/>
                </m:rPr>
                <w:rPr>
                  <w:rFonts w:ascii="Times New Roman" w:hAnsi="Times New Roman" w:eastAsia="宋体" w:cs="Times New Roman"/>
                  <w:sz w:val="24"/>
                  <w:szCs w:val="24"/>
                </w:rPr>
                <m:t>min</m:t>
              </m:r>
              <m:ctrlPr>
                <w:rPr>
                  <w:rFonts w:ascii="Cambria Math" w:hAnsi="Cambria Math" w:eastAsia="宋体" w:cs="Times New Roman"/>
                  <w:sz w:val="24"/>
                  <w:szCs w:val="24"/>
                </w:rPr>
              </m:ctrlPr>
            </m:e>
            <m:lim>
              <m:r>
                <w:rPr>
                  <w:rFonts w:ascii="Times New Roman" w:hAnsi="Times New Roman" w:eastAsia="宋体" w:cs="Times New Roman"/>
                  <w:sz w:val="24"/>
                  <w:szCs w:val="24"/>
                </w:rPr>
                <m:t>x</m:t>
              </m:r>
              <m:ctrlPr>
                <w:rPr>
                  <w:rFonts w:ascii="Cambria Math" w:hAnsi="Cambria Math" w:eastAsia="宋体" w:cs="Times New Roman"/>
                  <w:sz w:val="24"/>
                  <w:szCs w:val="24"/>
                </w:rPr>
              </m:ctrlPr>
            </m:lim>
          </m:limLow>
          <m:r>
            <w:rPr>
              <w:rFonts w:ascii="Times New Roman" w:hAnsi="Times New Roman" w:eastAsia="宋体" w:cs="Times New Roman"/>
              <w:sz w:val="24"/>
              <w:szCs w:val="24"/>
            </w:rPr>
            <m:t> C</m:t>
          </m:r>
          <m:d>
            <m:dPr>
              <m:sepChr m:val=""/>
              <m:ctrlPr>
                <w:rPr>
                  <w:rFonts w:ascii="Cambria Math" w:hAnsi="Cambria Math" w:eastAsia="宋体" w:cs="Times New Roman"/>
                  <w:sz w:val="24"/>
                  <w:szCs w:val="24"/>
                </w:rPr>
              </m:ctrlPr>
            </m:dPr>
            <m:e>
              <m:r>
                <m:rPr>
                  <m:sty m:val="b"/>
                </m:rPr>
                <w:rPr>
                  <w:rFonts w:ascii="Times New Roman" w:hAnsi="Times New Roman" w:eastAsia="宋体" w:cs="Times New Roman"/>
                  <w:sz w:val="24"/>
                  <w:szCs w:val="24"/>
                </w:rPr>
                <m:t>x</m:t>
              </m:r>
              <m:ctrlPr>
                <w:rPr>
                  <w:rFonts w:ascii="Cambria Math" w:hAnsi="Cambria Math" w:eastAsia="宋体" w:cs="Times New Roman"/>
                  <w:sz w:val="24"/>
                  <w:szCs w:val="24"/>
                </w:rPr>
              </m:ctrlPr>
            </m:e>
          </m:d>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m:rPr>
                  <m:sty m:val="b"/>
                </m:rPr>
                <w:rPr>
                  <w:rFonts w:ascii="Times New Roman" w:hAnsi="Times New Roman" w:eastAsia="宋体" w:cs="Times New Roman"/>
                  <w:sz w:val="24"/>
                  <w:szCs w:val="24"/>
                </w:rPr>
                <m:t>F</m:t>
              </m:r>
              <m:ctrlPr>
                <w:rPr>
                  <w:rFonts w:ascii="Cambria Math" w:hAnsi="Cambria Math" w:eastAsia="宋体" w:cs="Times New Roman"/>
                  <w:sz w:val="24"/>
                  <w:szCs w:val="24"/>
                </w:rPr>
              </m:ctrlPr>
            </m:e>
            <m:sup>
              <m:r>
                <w:rPr>
                  <w:rFonts w:ascii="Times New Roman" w:hAnsi="Times New Roman" w:eastAsia="宋体" w:cs="Times New Roman"/>
                  <w:sz w:val="24"/>
                  <w:szCs w:val="24"/>
                </w:rPr>
                <m:t>T</m:t>
              </m:r>
              <m:ctrlPr>
                <w:rPr>
                  <w:rFonts w:ascii="Cambria Math" w:hAnsi="Cambria Math" w:eastAsia="宋体" w:cs="Times New Roman"/>
                  <w:sz w:val="24"/>
                  <w:szCs w:val="24"/>
                </w:rPr>
              </m:ctrlPr>
            </m:sup>
          </m:sSup>
          <m:r>
            <m:rPr>
              <m:sty m:val="b"/>
            </m:rPr>
            <w:rPr>
              <w:rFonts w:ascii="Times New Roman" w:hAnsi="Times New Roman" w:eastAsia="宋体" w:cs="Times New Roman"/>
              <w:sz w:val="24"/>
              <w:szCs w:val="24"/>
            </w:rPr>
            <m:t>U</m:t>
          </m:r>
        </m:oMath>
      </m:oMathPara>
    </w:p>
    <w:p w14:paraId="5B6F44E1">
      <w:pPr>
        <w:pStyle w:val="3"/>
        <w:rPr>
          <w:rFonts w:ascii="Times New Roman" w:hAnsi="Times New Roman" w:eastAsia="宋体" w:cs="Times New Roman"/>
          <w:sz w:val="24"/>
          <w:szCs w:val="24"/>
        </w:rPr>
      </w:pPr>
      <m:oMathPara>
        <m:oMathParaPr>
          <m:jc m:val="center"/>
        </m:oMathParaPr>
        <m:oMath>
          <m:r>
            <m:rPr>
              <m:nor/>
              <m:sty m:val="p"/>
            </m:rPr>
            <w:rPr>
              <w:rFonts w:ascii="Times New Roman" w:hAnsi="Times New Roman" w:eastAsia="宋体" w:cs="Times New Roman"/>
              <w:b w:val="0"/>
              <w:i w:val="0"/>
              <w:sz w:val="24"/>
              <w:szCs w:val="24"/>
            </w:rPr>
            <m:t>s.t.</m:t>
          </m:r>
          <m:r>
            <w:rPr>
              <w:rFonts w:ascii="Times New Roman" w:hAnsi="Times New Roman" w:eastAsia="宋体" w:cs="Times New Roman"/>
              <w:sz w:val="24"/>
              <w:szCs w:val="24"/>
            </w:rPr>
            <m:t> </m:t>
          </m:r>
          <m:r>
            <m:rPr>
              <m:sty m:val="b"/>
            </m:rPr>
            <w:rPr>
              <w:rFonts w:ascii="Times New Roman" w:hAnsi="Times New Roman" w:eastAsia="宋体" w:cs="Times New Roman"/>
              <w:sz w:val="24"/>
              <w:szCs w:val="24"/>
            </w:rPr>
            <m:t>K</m:t>
          </m:r>
          <m:d>
            <m:dPr>
              <m:sepChr m:val=""/>
              <m:ctrlPr>
                <w:rPr>
                  <w:rFonts w:ascii="Cambria Math" w:hAnsi="Cambria Math" w:eastAsia="宋体" w:cs="Times New Roman"/>
                  <w:sz w:val="24"/>
                  <w:szCs w:val="24"/>
                </w:rPr>
              </m:ctrlPr>
            </m:dPr>
            <m:e>
              <m:r>
                <m:rPr>
                  <m:sty m:val="b"/>
                </m:rPr>
                <w:rPr>
                  <w:rFonts w:ascii="Times New Roman" w:hAnsi="Times New Roman" w:eastAsia="宋体" w:cs="Times New Roman"/>
                  <w:sz w:val="24"/>
                  <w:szCs w:val="24"/>
                </w:rPr>
                <m:t>x</m:t>
              </m:r>
              <m:ctrlPr>
                <w:rPr>
                  <w:rFonts w:ascii="Cambria Math" w:hAnsi="Cambria Math" w:eastAsia="宋体" w:cs="Times New Roman"/>
                  <w:sz w:val="24"/>
                  <w:szCs w:val="24"/>
                </w:rPr>
              </m:ctrlPr>
            </m:e>
          </m:d>
          <m:r>
            <m:rPr>
              <m:sty m:val="b"/>
            </m:rPr>
            <w:rPr>
              <w:rFonts w:ascii="Times New Roman" w:hAnsi="Times New Roman" w:eastAsia="宋体" w:cs="Times New Roman"/>
              <w:sz w:val="24"/>
              <w:szCs w:val="24"/>
            </w:rPr>
            <m:t>U</m:t>
          </m:r>
          <m:r>
            <m:rPr>
              <m:sty m:val="p"/>
            </m:rPr>
            <w:rPr>
              <w:rFonts w:ascii="Times New Roman" w:hAnsi="Times New Roman" w:eastAsia="宋体" w:cs="Times New Roman"/>
              <w:sz w:val="24"/>
              <w:szCs w:val="24"/>
            </w:rPr>
            <m:t>=</m:t>
          </m:r>
          <m:r>
            <m:rPr>
              <m:sty m:val="b"/>
            </m:rPr>
            <w:rPr>
              <w:rFonts w:ascii="Times New Roman" w:hAnsi="Times New Roman" w:eastAsia="宋体" w:cs="Times New Roman"/>
              <w:sz w:val="24"/>
              <w:szCs w:val="24"/>
            </w:rPr>
            <m:t>F</m:t>
          </m:r>
        </m:oMath>
      </m:oMathPara>
    </w:p>
    <w:p w14:paraId="0E958800">
      <w:pPr>
        <w:pStyle w:val="3"/>
        <w:rPr>
          <w:rFonts w:ascii="Times New Roman" w:hAnsi="Times New Roman" w:eastAsia="宋体" w:cs="Times New Roman"/>
          <w:sz w:val="24"/>
          <w:szCs w:val="24"/>
        </w:rPr>
      </w:pPr>
      <m:oMathPara>
        <m:oMathParaPr>
          <m:jc m:val="center"/>
        </m:oMathParaPr>
        <m:oMath>
          <m:nary>
            <m:naryPr>
              <m:chr m:val="∑"/>
              <m:limLoc m:val="undOvr"/>
              <m:ctrlPr>
                <w:rPr>
                  <w:rFonts w:ascii="Cambria Math" w:hAnsi="Cambria Math" w:eastAsia="宋体" w:cs="Times New Roman"/>
                  <w:sz w:val="24"/>
                  <w:szCs w:val="24"/>
                </w:rPr>
              </m:ctrlPr>
            </m:naryPr>
            <m:sub>
              <m:r>
                <w:rPr>
                  <w:rFonts w:ascii="Times New Roman" w:hAnsi="Times New Roman" w:eastAsia="宋体" w:cs="Times New Roman"/>
                  <w:sz w:val="24"/>
                  <w:szCs w:val="24"/>
                </w:rPr>
                <m:t>i</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ctrlPr>
                <w:rPr>
                  <w:rFonts w:ascii="Cambria Math" w:hAnsi="Cambria Math" w:eastAsia="宋体" w:cs="Times New Roman"/>
                  <w:sz w:val="24"/>
                  <w:szCs w:val="24"/>
                </w:rPr>
              </m:ctrlPr>
            </m:sub>
            <m:sup>
              <m:r>
                <w:rPr>
                  <w:rFonts w:ascii="Times New Roman" w:hAnsi="Times New Roman" w:eastAsia="宋体" w:cs="Times New Roman"/>
                  <w:sz w:val="24"/>
                  <w:szCs w:val="24"/>
                </w:rPr>
                <m:t>N</m:t>
              </m:r>
              <m:ctrlPr>
                <w:rPr>
                  <w:rFonts w:ascii="Cambria Math" w:hAnsi="Cambria Math" w:eastAsia="宋体" w:cs="Times New Roman"/>
                  <w:sz w:val="24"/>
                  <w:szCs w:val="24"/>
                </w:rPr>
              </m:ctrlPr>
            </m:sup>
            <m:e>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ctrlPr>
                <w:rPr>
                  <w:rFonts w:ascii="Cambria Math" w:hAnsi="Cambria Math" w:eastAsia="宋体" w:cs="Times New Roman"/>
                  <w:sz w:val="24"/>
                  <w:szCs w:val="24"/>
                </w:rPr>
              </m:ctrlPr>
            </m:e>
          </m:nary>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V</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m:oMathPara>
    </w:p>
    <w:p w14:paraId="165A33BB">
      <w:pPr>
        <w:pStyle w:val="3"/>
        <w:rPr>
          <w:rFonts w:ascii="Times New Roman" w:hAnsi="Times New Roman" w:eastAsia="宋体" w:cs="Times New Roman"/>
          <w:sz w:val="24"/>
          <w:szCs w:val="24"/>
        </w:rPr>
      </w:pPr>
      <m:oMathPara>
        <m:oMathParaPr>
          <m:jc m:val="center"/>
        </m:oMathParaPr>
        <m:oMath>
          <m:r>
            <w:rPr>
              <w:rFonts w:ascii="Times New Roman" w:hAnsi="Times New Roman" w:eastAsia="宋体" w:cs="Times New Roman"/>
              <w:sz w:val="24"/>
              <w:szCs w:val="24"/>
            </w:rPr>
            <m:t>0</m:t>
          </m:r>
          <m:r>
            <m:rPr>
              <m:sty m:val="p"/>
            </m:rPr>
            <w:rPr>
              <w:rFonts w:ascii="Times New Roman" w:hAnsi="Times New Roman" w:eastAsia="宋体" w:cs="Times New Roman"/>
              <w:sz w:val="24"/>
              <w:szCs w:val="24"/>
            </w:rPr>
            <m:t>&lt;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min</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x</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 i</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1</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2</m:t>
          </m:r>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N</m:t>
          </m:r>
        </m:oMath>
      </m:oMathPara>
    </w:p>
    <w:p w14:paraId="69A64D8F">
      <w:pPr>
        <w:pStyle w:val="3"/>
        <w:rPr>
          <w:rFonts w:ascii="Times New Roman" w:hAnsi="Times New Roman" w:eastAsia="宋体" w:cs="Times New Roman"/>
          <w:sz w:val="24"/>
          <w:szCs w:val="24"/>
        </w:rPr>
      </w:pPr>
      <w:r>
        <w:rPr>
          <w:rFonts w:ascii="Times New Roman" w:hAnsi="Times New Roman" w:eastAsia="宋体" w:cs="Times New Roman"/>
          <w:sz w:val="24"/>
          <w:szCs w:val="24"/>
        </w:rPr>
        <w:t>式中，</w:t>
      </w:r>
      <m:oMath>
        <m:r>
          <w:rPr>
            <w:rFonts w:ascii="Times New Roman" w:hAnsi="Times New Roman" w:eastAsia="宋体" w:cs="Times New Roman"/>
            <w:sz w:val="24"/>
            <w:szCs w:val="24"/>
          </w:rPr>
          <m:t>C</m:t>
        </m:r>
      </m:oMath>
      <w:r>
        <w:rPr>
          <w:rFonts w:ascii="Times New Roman" w:hAnsi="Times New Roman" w:eastAsia="宋体" w:cs="Times New Roman"/>
          <w:sz w:val="24"/>
          <w:szCs w:val="24"/>
        </w:rPr>
        <w:t xml:space="preserve"> 为结构柔度（目标函数，最小化柔度即最大化刚度）；</w:t>
      </w:r>
      <m:oMath>
        <m:r>
          <m:rPr>
            <m:sty m:val="b"/>
          </m:rPr>
          <w:rPr>
            <w:rFonts w:ascii="Times New Roman" w:hAnsi="Times New Roman" w:eastAsia="宋体" w:cs="Times New Roman"/>
            <w:sz w:val="24"/>
            <w:szCs w:val="24"/>
          </w:rPr>
          <m:t>x</m:t>
        </m:r>
      </m:oMath>
      <w:r>
        <w:rPr>
          <w:rFonts w:ascii="Times New Roman" w:hAnsi="Times New Roman" w:eastAsia="宋体" w:cs="Times New Roman"/>
          <w:sz w:val="24"/>
          <w:szCs w:val="24"/>
        </w:rPr>
        <w:t xml:space="preserve"> 为设计变量向量；</w:t>
      </w:r>
      <m:oMath>
        <m:r>
          <m:rPr>
            <m:sty m:val="b"/>
          </m:rPr>
          <w:rPr>
            <w:rFonts w:ascii="Times New Roman" w:hAnsi="Times New Roman" w:eastAsia="宋体" w:cs="Times New Roman"/>
            <w:sz w:val="24"/>
            <w:szCs w:val="24"/>
          </w:rPr>
          <m:t>F</m:t>
        </m:r>
      </m:oMath>
      <w:r>
        <w:rPr>
          <w:rFonts w:ascii="Times New Roman" w:hAnsi="Times New Roman" w:eastAsia="宋体" w:cs="Times New Roman"/>
          <w:sz w:val="24"/>
          <w:szCs w:val="24"/>
        </w:rPr>
        <w:t xml:space="preserve"> 为外力向量；</w:t>
      </w:r>
      <m:oMath>
        <m:r>
          <m:rPr>
            <m:sty m:val="b"/>
          </m:rPr>
          <w:rPr>
            <w:rFonts w:ascii="Times New Roman" w:hAnsi="Times New Roman" w:eastAsia="宋体" w:cs="Times New Roman"/>
            <w:sz w:val="24"/>
            <w:szCs w:val="24"/>
          </w:rPr>
          <m:t>U</m:t>
        </m:r>
      </m:oMath>
      <w:r>
        <w:rPr>
          <w:rFonts w:ascii="Times New Roman" w:hAnsi="Times New Roman" w:eastAsia="宋体" w:cs="Times New Roman"/>
          <w:sz w:val="24"/>
          <w:szCs w:val="24"/>
        </w:rPr>
        <w:t xml:space="preserve"> 为位移向量；</w:t>
      </w:r>
      <m:oMath>
        <m:r>
          <m:rPr>
            <m:sty m:val="b"/>
          </m:rPr>
          <w:rPr>
            <w:rFonts w:ascii="Times New Roman" w:hAnsi="Times New Roman" w:eastAsia="宋体" w:cs="Times New Roman"/>
            <w:sz w:val="24"/>
            <w:szCs w:val="24"/>
          </w:rPr>
          <m:t>K</m:t>
        </m:r>
      </m:oMath>
      <w:r>
        <w:rPr>
          <w:rFonts w:ascii="Times New Roman" w:hAnsi="Times New Roman" w:eastAsia="宋体" w:cs="Times New Roman"/>
          <w:sz w:val="24"/>
          <w:szCs w:val="24"/>
        </w:rPr>
        <w:t xml:space="preserve"> 为整体刚度矩阵；</w:t>
      </w:r>
      <m:oMath>
        <m:sSub>
          <m:sSubPr>
            <m:ctrlPr>
              <w:rPr>
                <w:rFonts w:ascii="Cambria Math" w:hAnsi="Cambria Math" w:eastAsia="宋体" w:cs="Times New Roman"/>
                <w:sz w:val="24"/>
                <w:szCs w:val="24"/>
              </w:rPr>
            </m:ctrlPr>
          </m:sSubPr>
          <m:e>
            <m:r>
              <w:rPr>
                <w:rFonts w:ascii="Times New Roman" w:hAnsi="Times New Roman" w:eastAsia="宋体" w:cs="Times New Roman"/>
                <w:sz w:val="24"/>
                <w:szCs w:val="24"/>
              </w:rPr>
              <m:t>v</m:t>
            </m:r>
            <m:ctrlPr>
              <w:rPr>
                <w:rFonts w:ascii="Cambria Math" w:hAnsi="Cambria Math" w:eastAsia="宋体" w:cs="Times New Roman"/>
                <w:sz w:val="24"/>
                <w:szCs w:val="24"/>
              </w:rPr>
            </m:ctrlPr>
          </m:e>
          <m:sub>
            <m:r>
              <w:rPr>
                <w:rFonts w:ascii="Times New Roman" w:hAnsi="Times New Roman" w:eastAsia="宋体" w:cs="Times New Roman"/>
                <w:sz w:val="24"/>
                <w:szCs w:val="24"/>
              </w:rPr>
              <m:t>i</m:t>
            </m:r>
            <m:ctrlPr>
              <w:rPr>
                <w:rFonts w:ascii="Cambria Math" w:hAnsi="Cambria Math" w:eastAsia="宋体" w:cs="Times New Roman"/>
                <w:sz w:val="24"/>
                <w:szCs w:val="24"/>
              </w:rPr>
            </m:ctrlPr>
          </m:sub>
        </m:sSub>
      </m:oMath>
      <w:r>
        <w:rPr>
          <w:rFonts w:ascii="Times New Roman" w:hAnsi="Times New Roman" w:eastAsia="宋体" w:cs="Times New Roman"/>
          <w:sz w:val="24"/>
          <w:szCs w:val="24"/>
        </w:rPr>
        <w:t xml:space="preserve"> 为第 </w:t>
      </w:r>
      <m:oMath>
        <m:r>
          <w:rPr>
            <w:rFonts w:ascii="Times New Roman" w:hAnsi="Times New Roman" w:eastAsia="宋体" w:cs="Times New Roman"/>
            <w:sz w:val="24"/>
            <w:szCs w:val="24"/>
          </w:rPr>
          <m:t>i</m:t>
        </m:r>
      </m:oMath>
      <w:r>
        <w:rPr>
          <w:rFonts w:ascii="Times New Roman" w:hAnsi="Times New Roman" w:eastAsia="宋体" w:cs="Times New Roman"/>
          <w:sz w:val="24"/>
          <w:szCs w:val="24"/>
        </w:rPr>
        <w:t xml:space="preserve"> 个单元的体积；</w:t>
      </w:r>
      <m:oMath>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V</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ctrlPr>
              <w:rPr>
                <w:rFonts w:ascii="Cambria Math" w:hAnsi="Cambria Math" w:eastAsia="宋体" w:cs="Times New Roman"/>
                <w:sz w:val="24"/>
                <w:szCs w:val="24"/>
              </w:rPr>
            </m:ctrlPr>
          </m:sup>
        </m:sSup>
      </m:oMath>
      <w:r>
        <w:rPr>
          <w:rFonts w:ascii="Times New Roman" w:hAnsi="Times New Roman" w:eastAsia="宋体" w:cs="Times New Roman"/>
          <w:sz w:val="24"/>
          <w:szCs w:val="24"/>
        </w:rPr>
        <w:t xml:space="preserve"> 为目标体积上限；</w:t>
      </w:r>
      <m:oMath>
        <m:r>
          <w:rPr>
            <w:rFonts w:ascii="Times New Roman" w:hAnsi="Times New Roman" w:eastAsia="宋体" w:cs="Times New Roman"/>
            <w:sz w:val="24"/>
            <w:szCs w:val="24"/>
          </w:rPr>
          <m:t>N</m:t>
        </m:r>
      </m:oMath>
      <w:r>
        <w:rPr>
          <w:rFonts w:ascii="Times New Roman" w:hAnsi="Times New Roman" w:eastAsia="宋体" w:cs="Times New Roman"/>
          <w:sz w:val="24"/>
          <w:szCs w:val="24"/>
        </w:rPr>
        <w:t xml:space="preserve"> 为设计域中的单元总数。</w:t>
      </w:r>
    </w:p>
    <w:bookmarkEnd w:id="61"/>
    <w:p w14:paraId="493689F7">
      <w:pPr>
        <w:pStyle w:val="4"/>
        <w:numPr>
          <w:ilvl w:val="0"/>
          <w:numId w:val="12"/>
        </w:numPr>
        <w:ind w:left="0" w:leftChars="0" w:firstLine="0" w:firstLineChars="0"/>
        <w:rPr>
          <w:b w:val="0"/>
          <w:bdr w:val="none" w:sz="0" w:space="0"/>
        </w:rPr>
      </w:pPr>
      <w:bookmarkStart w:id="62" w:name="_Toc25285"/>
      <w:bookmarkStart w:id="63" w:name="拓扑优化设置与求解"/>
      <w:r>
        <w:t>拓扑优化设置与求解</w:t>
      </w:r>
      <w:bookmarkEnd w:id="62"/>
    </w:p>
    <w:p w14:paraId="25F726A6">
      <w:pPr>
        <w:pStyle w:val="3"/>
        <w:rPr>
          <w:rFonts w:ascii="Times New Roman" w:hAnsi="Times New Roman" w:eastAsia="宋体" w:cs="Times New Roman"/>
          <w:sz w:val="24"/>
          <w:szCs w:val="24"/>
        </w:rPr>
      </w:pPr>
      <w:r>
        <w:rPr>
          <w:rFonts w:ascii="Times New Roman" w:hAnsi="Times New Roman" w:eastAsia="宋体" w:cs="Times New Roman"/>
          <w:sz w:val="24"/>
          <w:szCs w:val="24"/>
        </w:rPr>
        <w:t>在ANSYS Workbench的项目原理图中，将静态结构模块的结果链接到结构优化模块，共享几何模型和材料属性。</w:t>
      </w:r>
    </w:p>
    <w:p w14:paraId="2459E76C">
      <w:pPr>
        <w:pStyle w:val="3"/>
        <w:rPr>
          <w:rFonts w:ascii="Times New Roman" w:hAnsi="Times New Roman" w:eastAsia="宋体" w:cs="Times New Roman"/>
          <w:sz w:val="24"/>
          <w:szCs w:val="24"/>
        </w:rPr>
      </w:pPr>
      <w:r>
        <w:rPr>
          <w:rFonts w:ascii="Times New Roman" w:hAnsi="Times New Roman" w:eastAsia="宋体" w:cs="Times New Roman"/>
          <w:b/>
          <w:sz w:val="24"/>
          <w:szCs w:val="24"/>
        </w:rPr>
        <w:t>设计区域与排除区域定义</w:t>
      </w:r>
      <w:r>
        <w:rPr>
          <w:rFonts w:ascii="Times New Roman" w:hAnsi="Times New Roman" w:eastAsia="宋体" w:cs="Times New Roman"/>
          <w:sz w:val="24"/>
          <w:szCs w:val="24"/>
        </w:rPr>
        <w:t>：制动盘的摩擦工作面需要与刹车片接触，螺栓安装孔用于固定，这些区域的几何形状不能改变，因此将其定义为排除区域（图中红色显示）。制动盘内部的其他区域则定义为设计区域（图中蓝色显示），允许算法在其中去除材料。拓扑优化区域定义如图4-1所示。</w:t>
      </w:r>
    </w:p>
    <w:p w14:paraId="4E24D2DE">
      <w:pPr>
        <w:pStyle w:val="40"/>
      </w:pPr>
      <w:r>
        <w:drawing>
          <wp:inline distT="0" distB="0" distL="114300" distR="114300">
            <wp:extent cx="5334000" cy="2672080"/>
            <wp:effectExtent l="0" t="0" r="0" b="0"/>
            <wp:docPr id="108" name="Picture" descr="图4-1 拓扑优化区域与排除区域定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descr="图4-1 拓扑优化区域与排除区域定义"/>
                    <pic:cNvPicPr>
                      <a:picLocks noChangeAspect="1" noChangeArrowheads="1"/>
                    </pic:cNvPicPr>
                  </pic:nvPicPr>
                  <pic:blipFill>
                    <a:blip r:embed="rId24"/>
                    <a:stretch>
                      <a:fillRect/>
                    </a:stretch>
                  </pic:blipFill>
                  <pic:spPr>
                    <a:xfrm>
                      <a:off x="0" y="0"/>
                      <a:ext cx="5334000" cy="2672387"/>
                    </a:xfrm>
                    <a:prstGeom prst="rect">
                      <a:avLst/>
                    </a:prstGeom>
                    <a:noFill/>
                    <a:ln w="9525">
                      <a:noFill/>
                    </a:ln>
                  </pic:spPr>
                </pic:pic>
              </a:graphicData>
            </a:graphic>
          </wp:inline>
        </w:drawing>
      </w:r>
    </w:p>
    <w:p w14:paraId="3C373E47">
      <w:pPr>
        <w:pStyle w:val="78"/>
        <w:widowControl/>
      </w:pPr>
      <w:r>
        <w:t>图4-1 拓扑优化区域与排除区域定义</w:t>
      </w:r>
    </w:p>
    <w:p w14:paraId="0C1DF5CB">
      <w:pPr>
        <w:pStyle w:val="3"/>
        <w:rPr>
          <w:rFonts w:ascii="Times New Roman" w:hAnsi="Times New Roman" w:eastAsia="宋体" w:cs="Times New Roman"/>
          <w:sz w:val="24"/>
          <w:szCs w:val="24"/>
        </w:rPr>
      </w:pPr>
      <w:r>
        <w:rPr>
          <w:rFonts w:ascii="Times New Roman" w:hAnsi="Times New Roman" w:eastAsia="宋体" w:cs="Times New Roman"/>
          <w:b/>
          <w:sz w:val="24"/>
          <w:szCs w:val="24"/>
        </w:rPr>
        <w:t>优化目标与约束</w:t>
      </w:r>
      <w:r>
        <w:rPr>
          <w:rFonts w:ascii="Times New Roman" w:hAnsi="Times New Roman" w:eastAsia="宋体" w:cs="Times New Roman"/>
          <w:sz w:val="24"/>
          <w:szCs w:val="24"/>
        </w:rPr>
        <w:t>：设置优化目标为最小化柔度（即最大化结构刚度）。设置响应约束为质量保留百分比，要求优化后的质量减少到初始质量的特定比例。</w:t>
      </w:r>
    </w:p>
    <w:p w14:paraId="28D46E67">
      <w:pPr>
        <w:pStyle w:val="3"/>
        <w:rPr>
          <w:rFonts w:ascii="Times New Roman" w:hAnsi="Times New Roman" w:eastAsia="宋体" w:cs="Times New Roman"/>
          <w:sz w:val="24"/>
          <w:szCs w:val="24"/>
        </w:rPr>
      </w:pPr>
      <w:r>
        <w:rPr>
          <w:rFonts w:ascii="Times New Roman" w:hAnsi="Times New Roman" w:eastAsia="宋体" w:cs="Times New Roman"/>
          <w:b/>
          <w:sz w:val="24"/>
          <w:szCs w:val="24"/>
        </w:rPr>
        <w:t>载荷条件</w:t>
      </w:r>
      <w:r>
        <w:rPr>
          <w:rFonts w:ascii="Times New Roman" w:hAnsi="Times New Roman" w:eastAsia="宋体" w:cs="Times New Roman"/>
          <w:sz w:val="24"/>
          <w:szCs w:val="24"/>
        </w:rPr>
        <w:t>：在优化模型中施加 100 N 的力（分量 0, 0, -100 N），作为优化过程中的参考载荷。载荷施加如图4-2所示。</w:t>
      </w:r>
    </w:p>
    <w:p w14:paraId="25B23B93">
      <w:pPr>
        <w:pStyle w:val="40"/>
      </w:pPr>
      <w:r>
        <w:drawing>
          <wp:inline distT="0" distB="0" distL="114300" distR="114300">
            <wp:extent cx="5334000" cy="3642360"/>
            <wp:effectExtent l="0" t="0" r="0" b="0"/>
            <wp:docPr id="111" name="Picture" descr="图4-2 拓扑优化载荷施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descr="图4-2 拓扑优化载荷施加"/>
                    <pic:cNvPicPr>
                      <a:picLocks noChangeAspect="1" noChangeArrowheads="1"/>
                    </pic:cNvPicPr>
                  </pic:nvPicPr>
                  <pic:blipFill>
                    <a:blip r:embed="rId25"/>
                    <a:stretch>
                      <a:fillRect/>
                    </a:stretch>
                  </pic:blipFill>
                  <pic:spPr>
                    <a:xfrm>
                      <a:off x="0" y="0"/>
                      <a:ext cx="5334000" cy="3642478"/>
                    </a:xfrm>
                    <a:prstGeom prst="rect">
                      <a:avLst/>
                    </a:prstGeom>
                    <a:noFill/>
                    <a:ln w="9525">
                      <a:noFill/>
                    </a:ln>
                  </pic:spPr>
                </pic:pic>
              </a:graphicData>
            </a:graphic>
          </wp:inline>
        </w:drawing>
      </w:r>
    </w:p>
    <w:p w14:paraId="7954CB43">
      <w:pPr>
        <w:pStyle w:val="78"/>
        <w:widowControl/>
      </w:pPr>
      <w:r>
        <w:t>图4-2 拓扑优化载荷施加</w:t>
      </w:r>
    </w:p>
    <w:p w14:paraId="43502AA9">
      <w:pPr>
        <w:pStyle w:val="3"/>
        <w:rPr>
          <w:rFonts w:ascii="Times New Roman" w:hAnsi="Times New Roman" w:eastAsia="宋体" w:cs="Times New Roman"/>
          <w:sz w:val="24"/>
          <w:szCs w:val="24"/>
        </w:rPr>
      </w:pPr>
      <w:r>
        <w:rPr>
          <w:rFonts w:ascii="Times New Roman" w:hAnsi="Times New Roman" w:eastAsia="宋体" w:cs="Times New Roman"/>
          <w:b/>
          <w:sz w:val="24"/>
          <w:szCs w:val="24"/>
        </w:rPr>
        <w:t>求解与收敛</w:t>
      </w:r>
      <w:r>
        <w:rPr>
          <w:rFonts w:ascii="Times New Roman" w:hAnsi="Times New Roman" w:eastAsia="宋体" w:cs="Times New Roman"/>
          <w:sz w:val="24"/>
          <w:szCs w:val="24"/>
        </w:rPr>
        <w:t>：提交求解后，经过 13 次迭代，目标函数和质量响应曲线趋于平稳，优化过程收敛。收敛曲线和求解方案输出分别如图4-3和图4-4所示。</w:t>
      </w:r>
    </w:p>
    <w:p w14:paraId="119F2192">
      <w:pPr>
        <w:pStyle w:val="40"/>
      </w:pPr>
      <w:r>
        <w:drawing>
          <wp:inline distT="0" distB="0" distL="114300" distR="114300">
            <wp:extent cx="5334000" cy="3996055"/>
            <wp:effectExtent l="0" t="0" r="0" b="0"/>
            <wp:docPr id="114" name="Picture" descr="图4-3 拓扑优化目标与质量响应收敛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descr="图4-3 拓扑优化目标与质量响应收敛曲线"/>
                    <pic:cNvPicPr>
                      <a:picLocks noChangeAspect="1" noChangeArrowheads="1"/>
                    </pic:cNvPicPr>
                  </pic:nvPicPr>
                  <pic:blipFill>
                    <a:blip r:embed="rId26"/>
                    <a:stretch>
                      <a:fillRect/>
                    </a:stretch>
                  </pic:blipFill>
                  <pic:spPr>
                    <a:xfrm>
                      <a:off x="0" y="0"/>
                      <a:ext cx="5334000" cy="3996212"/>
                    </a:xfrm>
                    <a:prstGeom prst="rect">
                      <a:avLst/>
                    </a:prstGeom>
                    <a:noFill/>
                    <a:ln w="9525">
                      <a:noFill/>
                    </a:ln>
                  </pic:spPr>
                </pic:pic>
              </a:graphicData>
            </a:graphic>
          </wp:inline>
        </w:drawing>
      </w:r>
    </w:p>
    <w:p w14:paraId="7DF0E349">
      <w:pPr>
        <w:pStyle w:val="78"/>
        <w:widowControl/>
      </w:pPr>
      <w:r>
        <w:t>图4-3 拓扑优化目标与质量响应收敛曲线</w:t>
      </w:r>
    </w:p>
    <w:p w14:paraId="26C2F03D">
      <w:pPr>
        <w:pStyle w:val="40"/>
      </w:pPr>
      <w:r>
        <w:drawing>
          <wp:inline distT="0" distB="0" distL="114300" distR="114300">
            <wp:extent cx="5334000" cy="2802255"/>
            <wp:effectExtent l="0" t="0" r="0" b="0"/>
            <wp:docPr id="117" name="Picture" descr="图4-4 拓扑优化求解方案输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descr="图4-4 拓扑优化求解方案输出"/>
                    <pic:cNvPicPr>
                      <a:picLocks noChangeAspect="1" noChangeArrowheads="1"/>
                    </pic:cNvPicPr>
                  </pic:nvPicPr>
                  <pic:blipFill>
                    <a:blip r:embed="rId27"/>
                    <a:stretch>
                      <a:fillRect/>
                    </a:stretch>
                  </pic:blipFill>
                  <pic:spPr>
                    <a:xfrm>
                      <a:off x="0" y="0"/>
                      <a:ext cx="5334000" cy="2802610"/>
                    </a:xfrm>
                    <a:prstGeom prst="rect">
                      <a:avLst/>
                    </a:prstGeom>
                    <a:noFill/>
                    <a:ln w="9525">
                      <a:noFill/>
                    </a:ln>
                  </pic:spPr>
                </pic:pic>
              </a:graphicData>
            </a:graphic>
          </wp:inline>
        </w:drawing>
      </w:r>
    </w:p>
    <w:p w14:paraId="7D4C2AF0">
      <w:pPr>
        <w:pStyle w:val="78"/>
        <w:widowControl/>
      </w:pPr>
      <w:r>
        <w:t>图4-4 拓扑优化求解方案输出</w:t>
      </w:r>
    </w:p>
    <w:bookmarkEnd w:id="63"/>
    <w:p w14:paraId="07489506">
      <w:pPr>
        <w:pStyle w:val="4"/>
        <w:numPr>
          <w:ilvl w:val="0"/>
          <w:numId w:val="12"/>
        </w:numPr>
        <w:ind w:left="0" w:leftChars="0" w:firstLine="0" w:firstLineChars="0"/>
        <w:rPr>
          <w:b w:val="0"/>
          <w:bdr w:val="none" w:sz="0" w:space="0"/>
        </w:rPr>
      </w:pPr>
      <w:bookmarkStart w:id="64" w:name="_Toc28424"/>
      <w:bookmarkStart w:id="65" w:name="拓扑优化结果分析"/>
      <w:r>
        <w:t>拓扑优化结果分析</w:t>
      </w:r>
      <w:bookmarkEnd w:id="64"/>
    </w:p>
    <w:p w14:paraId="5B7E409B">
      <w:pPr>
        <w:pStyle w:val="3"/>
        <w:rPr>
          <w:rFonts w:ascii="Times New Roman" w:hAnsi="Times New Roman" w:eastAsia="宋体" w:cs="Times New Roman"/>
          <w:sz w:val="24"/>
          <w:szCs w:val="24"/>
        </w:rPr>
      </w:pPr>
      <w:r>
        <w:rPr>
          <w:rFonts w:ascii="Times New Roman" w:hAnsi="Times New Roman" w:eastAsia="宋体" w:cs="Times New Roman"/>
          <w:sz w:val="24"/>
          <w:szCs w:val="24"/>
        </w:rPr>
        <w:t>优化完成后，ANSYS输出了材料的拓扑密度分布云图。云图中，密度值接近 1.0 的区域（保持区域，0.6~1.0）对结构刚度贡献大，必须保留；密度值接近 0 的区域（删除区域，0.0</w:t>
      </w:r>
      <w:r>
        <w:rPr>
          <w:rFonts w:ascii="Times New Roman" w:hAnsi="Times New Roman" w:eastAsia="宋体" w:cs="Times New Roman"/>
          <w:sz w:val="24"/>
          <w:szCs w:val="24"/>
          <w:vertAlign w:val="subscript"/>
        </w:rPr>
        <w:t>0.4）对刚度贡献极小，可以去除；中间过渡区域（边际区域，0.4</w:t>
      </w:r>
      <w:r>
        <w:rPr>
          <w:rFonts w:ascii="Times New Roman" w:hAnsi="Times New Roman" w:eastAsia="宋体" w:cs="Times New Roman"/>
          <w:sz w:val="24"/>
          <w:szCs w:val="24"/>
        </w:rPr>
        <w:t>0.6）可根据实际加工工艺酌情处理。</w:t>
      </w:r>
    </w:p>
    <w:p w14:paraId="52CEB867">
      <w:pPr>
        <w:pStyle w:val="3"/>
        <w:rPr>
          <w:rFonts w:ascii="Times New Roman" w:hAnsi="Times New Roman" w:eastAsia="宋体" w:cs="Times New Roman"/>
          <w:sz w:val="24"/>
          <w:szCs w:val="24"/>
        </w:rPr>
      </w:pPr>
      <w:r>
        <w:rPr>
          <w:rFonts w:ascii="Times New Roman" w:hAnsi="Times New Roman" w:eastAsia="宋体" w:cs="Times New Roman"/>
          <w:sz w:val="24"/>
          <w:szCs w:val="24"/>
        </w:rPr>
        <w:t>从拓扑密度结果可以看出，在制动盘安装孔之间的非摩擦区域，存在大量可以去除的材料。这为在该区域开设通风孔或减重槽提供了理论依据。拓扑密度分布结果如图4-5所示。</w:t>
      </w:r>
    </w:p>
    <w:p w14:paraId="624DEB34">
      <w:pPr>
        <w:pStyle w:val="40"/>
      </w:pPr>
      <w:r>
        <w:drawing>
          <wp:inline distT="0" distB="0" distL="114300" distR="114300">
            <wp:extent cx="5334000" cy="2688590"/>
            <wp:effectExtent l="0" t="0" r="0" b="0"/>
            <wp:docPr id="121" name="Picture" descr="图4-5 拓扑密度分布结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descr="图4-5 拓扑密度分布结果"/>
                    <pic:cNvPicPr>
                      <a:picLocks noChangeAspect="1" noChangeArrowheads="1"/>
                    </pic:cNvPicPr>
                  </pic:nvPicPr>
                  <pic:blipFill>
                    <a:blip r:embed="rId28"/>
                    <a:stretch>
                      <a:fillRect/>
                    </a:stretch>
                  </pic:blipFill>
                  <pic:spPr>
                    <a:xfrm>
                      <a:off x="0" y="0"/>
                      <a:ext cx="5334000" cy="2688860"/>
                    </a:xfrm>
                    <a:prstGeom prst="rect">
                      <a:avLst/>
                    </a:prstGeom>
                    <a:noFill/>
                    <a:ln w="9525">
                      <a:noFill/>
                    </a:ln>
                  </pic:spPr>
                </pic:pic>
              </a:graphicData>
            </a:graphic>
          </wp:inline>
        </w:drawing>
      </w:r>
    </w:p>
    <w:p w14:paraId="429A1DC7">
      <w:pPr>
        <w:pStyle w:val="78"/>
        <w:widowControl/>
      </w:pPr>
      <w:r>
        <w:t>图4-5 拓扑密度分布结果</w:t>
      </w:r>
    </w:p>
    <w:bookmarkEnd w:id="65"/>
    <w:p w14:paraId="46909CCB">
      <w:pPr>
        <w:pStyle w:val="4"/>
        <w:numPr>
          <w:ilvl w:val="0"/>
          <w:numId w:val="12"/>
        </w:numPr>
        <w:ind w:left="0" w:leftChars="0" w:firstLine="0" w:firstLineChars="0"/>
      </w:pPr>
      <w:bookmarkStart w:id="66" w:name="_Toc2778"/>
      <w:bookmarkStart w:id="67" w:name="本章小结-2"/>
      <w:r>
        <w:t>本章小结</w:t>
      </w:r>
      <w:bookmarkEnd w:id="66"/>
    </w:p>
    <w:p w14:paraId="1EFCB86E">
      <w:pPr>
        <w:pStyle w:val="3"/>
        <w:rPr>
          <w:rFonts w:ascii="Times New Roman" w:hAnsi="Times New Roman" w:eastAsia="宋体" w:cs="Times New Roman"/>
          <w:sz w:val="24"/>
          <w:szCs w:val="24"/>
        </w:rPr>
      </w:pPr>
      <w:r>
        <w:rPr>
          <w:rFonts w:ascii="Times New Roman" w:hAnsi="Times New Roman" w:eastAsia="宋体" w:cs="Times New Roman"/>
          <w:sz w:val="24"/>
          <w:szCs w:val="24"/>
        </w:rPr>
        <w:t>本章基于ANSYS Workbench的拓扑优化模块，以最大化刚度为目标，以质量减少为约束，对实心制动盘进行了拓扑优化计算。经过13次迭代收敛后，获得了材料的最佳分布云图，明确了制动盘内部对结构强度贡献较小的区域。这一结果不仅从理论上证明了制动盘轻量化的可行性，更为后续在SolidWorks中进行具体的结构改进（如打孔设计）提供了科学直观的指导。</w:t>
      </w:r>
    </w:p>
    <w:bookmarkEnd w:id="59"/>
    <w:bookmarkEnd w:id="67"/>
    <w:p w14:paraId="4815B3A2">
      <w:pPr>
        <w:pStyle w:val="2"/>
        <w:numPr>
          <w:ilvl w:val="0"/>
          <w:numId w:val="1"/>
        </w:numPr>
        <w:ind w:left="0" w:leftChars="0" w:firstLine="0" w:firstLineChars="0"/>
        <w:rPr>
          <w:b w:val="0"/>
          <w:bdr w:val="none" w:sz="0" w:space="0"/>
        </w:rPr>
      </w:pPr>
      <w:bookmarkStart w:id="68" w:name="_Toc9225"/>
      <w:bookmarkStart w:id="69" w:name="第五章-优化后制动盘设计与仿真验证"/>
      <w:r>
        <w:br w:type="page"/>
      </w:r>
      <w:r>
        <w:t>优化后制动盘设计与仿真验证</w:t>
      </w:r>
      <w:bookmarkEnd w:id="68"/>
    </w:p>
    <w:p w14:paraId="327EC78F">
      <w:pPr>
        <w:pStyle w:val="3"/>
        <w:rPr>
          <w:rFonts w:ascii="Times New Roman" w:hAnsi="Times New Roman" w:eastAsia="宋体" w:cs="Times New Roman"/>
          <w:sz w:val="24"/>
          <w:szCs w:val="24"/>
        </w:rPr>
      </w:pPr>
      <w:r>
        <w:rPr>
          <w:rFonts w:ascii="Times New Roman" w:hAnsi="Times New Roman" w:eastAsia="宋体" w:cs="Times New Roman"/>
          <w:sz w:val="24"/>
          <w:szCs w:val="24"/>
        </w:rPr>
        <w:t>根据第四章的拓扑优化结果，本章在SolidWorks中对制动盘进行结构改进重构，并再次导入ANSYS进行静力学仿真，对比优化前后的性能指标，验证优化方案的有效性。</w:t>
      </w:r>
    </w:p>
    <w:p w14:paraId="66E74A8A">
      <w:pPr>
        <w:pStyle w:val="4"/>
        <w:numPr>
          <w:ilvl w:val="0"/>
          <w:numId w:val="13"/>
        </w:numPr>
        <w:ind w:left="0" w:leftChars="0" w:firstLine="0" w:firstLineChars="0"/>
        <w:rPr>
          <w:b w:val="0"/>
          <w:bdr w:val="none" w:sz="0" w:space="0"/>
        </w:rPr>
      </w:pPr>
      <w:bookmarkStart w:id="70" w:name="_Toc18236"/>
      <w:bookmarkStart w:id="71" w:name="优化后制动盘三维重构"/>
      <w:r>
        <w:t>优化后制动盘三维重构</w:t>
      </w:r>
      <w:bookmarkEnd w:id="70"/>
    </w:p>
    <w:p w14:paraId="7C30A6B3">
      <w:pPr>
        <w:pStyle w:val="3"/>
        <w:rPr>
          <w:rFonts w:ascii="Times New Roman" w:hAnsi="Times New Roman" w:eastAsia="宋体" w:cs="Times New Roman"/>
          <w:sz w:val="24"/>
          <w:szCs w:val="24"/>
        </w:rPr>
      </w:pPr>
      <w:r>
        <w:rPr>
          <w:rFonts w:ascii="Times New Roman" w:hAnsi="Times New Roman" w:eastAsia="宋体" w:cs="Times New Roman"/>
          <w:sz w:val="24"/>
          <w:szCs w:val="24"/>
        </w:rPr>
        <w:t>拓扑优化给出的往往是不规则的材料分布，无法直接用于机械加工。因此，需要结合制造工艺（如钻孔、铣削）对拓扑结果进行工程化重构。根据拓扑密度云图指示的删除区域，决定在制动盘螺栓孔之间的中间环形区域均匀开设 6 个圆柱形通风孔。</w:t>
      </w:r>
    </w:p>
    <w:p w14:paraId="6B0639E0">
      <w:pPr>
        <w:pStyle w:val="3"/>
        <w:rPr>
          <w:rFonts w:ascii="Times New Roman" w:hAnsi="Times New Roman" w:eastAsia="宋体" w:cs="Times New Roman"/>
          <w:sz w:val="24"/>
          <w:szCs w:val="24"/>
        </w:rPr>
      </w:pPr>
      <w:r>
        <w:rPr>
          <w:rFonts w:ascii="Times New Roman" w:hAnsi="Times New Roman" w:eastAsia="宋体" w:cs="Times New Roman"/>
          <w:sz w:val="24"/>
          <w:szCs w:val="24"/>
        </w:rPr>
        <w:t>在SolidWorks中进行如下修改：保持外径 200 mm、内径 60 mm 及 6 个 8 mm 螺栓孔不变；在半径为 66.84 mm 的分布圆上，绘制 6 个直径为 10 mm 的圆；使用拉伸切除命令，贯穿盘面生成 6 个通风孔。</w:t>
      </w:r>
    </w:p>
    <w:p w14:paraId="5C0CCB5D">
      <w:pPr>
        <w:pStyle w:val="3"/>
        <w:rPr>
          <w:rFonts w:ascii="Times New Roman" w:hAnsi="Times New Roman" w:eastAsia="宋体" w:cs="Times New Roman"/>
          <w:sz w:val="24"/>
          <w:szCs w:val="24"/>
        </w:rPr>
      </w:pPr>
      <w:r>
        <w:rPr>
          <w:rFonts w:ascii="Times New Roman" w:hAnsi="Times New Roman" w:eastAsia="宋体" w:cs="Times New Roman"/>
          <w:sz w:val="24"/>
          <w:szCs w:val="24"/>
        </w:rPr>
        <w:t>这种打孔设计不仅去除了多余材料实现了轻量化，而且增加了空气流通面积，极大地改善了制动盘在高速摩擦时的散热性能，有助于降低热衰退效应。优化后制动盘的尺寸草图和三维模型分别如图5-1和图5-2所示。</w:t>
      </w:r>
    </w:p>
    <w:p w14:paraId="457F4279">
      <w:pPr>
        <w:pStyle w:val="40"/>
      </w:pPr>
      <w:r>
        <w:drawing>
          <wp:inline distT="0" distB="0" distL="114300" distR="114300">
            <wp:extent cx="5334000" cy="4585335"/>
            <wp:effectExtent l="0" t="0" r="0" b="0"/>
            <wp:docPr id="127" name="Picture" descr="图5-1 优化后制动盘SolidWorks草图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descr="图5-1 优化后制动盘SolidWorks草图尺寸"/>
                    <pic:cNvPicPr>
                      <a:picLocks noChangeAspect="1" noChangeArrowheads="1"/>
                    </pic:cNvPicPr>
                  </pic:nvPicPr>
                  <pic:blipFill>
                    <a:blip r:embed="rId29"/>
                    <a:stretch>
                      <a:fillRect/>
                    </a:stretch>
                  </pic:blipFill>
                  <pic:spPr>
                    <a:xfrm>
                      <a:off x="0" y="0"/>
                      <a:ext cx="5334000" cy="4585368"/>
                    </a:xfrm>
                    <a:prstGeom prst="rect">
                      <a:avLst/>
                    </a:prstGeom>
                    <a:noFill/>
                    <a:ln w="9525">
                      <a:noFill/>
                    </a:ln>
                  </pic:spPr>
                </pic:pic>
              </a:graphicData>
            </a:graphic>
          </wp:inline>
        </w:drawing>
      </w:r>
    </w:p>
    <w:p w14:paraId="17DBFD36">
      <w:pPr>
        <w:pStyle w:val="78"/>
        <w:widowControl/>
      </w:pPr>
      <w:r>
        <w:t>图5-1 优化后制动盘SolidWorks草图尺寸</w:t>
      </w:r>
    </w:p>
    <w:p w14:paraId="55ADBB57">
      <w:pPr>
        <w:pStyle w:val="40"/>
      </w:pPr>
      <w:r>
        <w:drawing>
          <wp:inline distT="0" distB="0" distL="114300" distR="114300">
            <wp:extent cx="5334000" cy="2388235"/>
            <wp:effectExtent l="0" t="0" r="0" b="0"/>
            <wp:docPr id="130" name="Picture" descr="图5-2 优化后制动盘SolidWorks三维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descr="图5-2 优化后制动盘SolidWorks三维模型"/>
                    <pic:cNvPicPr>
                      <a:picLocks noChangeAspect="1" noChangeArrowheads="1"/>
                    </pic:cNvPicPr>
                  </pic:nvPicPr>
                  <pic:blipFill>
                    <a:blip r:embed="rId30"/>
                    <a:stretch>
                      <a:fillRect/>
                    </a:stretch>
                  </pic:blipFill>
                  <pic:spPr>
                    <a:xfrm>
                      <a:off x="0" y="0"/>
                      <a:ext cx="5334000" cy="2388319"/>
                    </a:xfrm>
                    <a:prstGeom prst="rect">
                      <a:avLst/>
                    </a:prstGeom>
                    <a:noFill/>
                    <a:ln w="9525">
                      <a:noFill/>
                    </a:ln>
                  </pic:spPr>
                </pic:pic>
              </a:graphicData>
            </a:graphic>
          </wp:inline>
        </w:drawing>
      </w:r>
    </w:p>
    <w:p w14:paraId="599D97E4">
      <w:pPr>
        <w:pStyle w:val="78"/>
        <w:widowControl/>
      </w:pPr>
      <w:r>
        <w:t>图5-2 优化后制动盘SolidWorks三维模型</w:t>
      </w:r>
    </w:p>
    <w:p w14:paraId="7CDECF94">
      <w:pPr>
        <w:pStyle w:val="3"/>
        <w:rPr>
          <w:rFonts w:ascii="Times New Roman" w:hAnsi="Times New Roman" w:eastAsia="宋体" w:cs="Times New Roman"/>
          <w:sz w:val="24"/>
          <w:szCs w:val="24"/>
        </w:rPr>
      </w:pPr>
      <w:r>
        <w:rPr>
          <w:rFonts w:ascii="Times New Roman" w:hAnsi="Times New Roman" w:eastAsia="宋体" w:cs="Times New Roman"/>
          <w:sz w:val="24"/>
          <w:szCs w:val="24"/>
        </w:rPr>
        <w:t>优化后制动盘关键尺寸参数如下表所示：</w:t>
      </w:r>
    </w:p>
    <w:tbl>
      <w:tblPr>
        <w:tblStyle w:val="34"/>
        <w:tblW w:w="7920" w:type="dxa"/>
        <w:jc w:val="center"/>
        <w:tblLayout w:type="autofit"/>
        <w:tblCellMar>
          <w:top w:w="0" w:type="dxa"/>
          <w:left w:w="108" w:type="dxa"/>
          <w:bottom w:w="0" w:type="dxa"/>
          <w:right w:w="108" w:type="dxa"/>
        </w:tblCellMar>
      </w:tblPr>
      <w:tblGrid>
        <w:gridCol w:w="5072"/>
        <w:gridCol w:w="1481"/>
        <w:gridCol w:w="1367"/>
      </w:tblGrid>
      <w:tr w14:paraId="37A79D99">
        <w:tblPrEx>
          <w:tblCellMar>
            <w:top w:w="0" w:type="dxa"/>
            <w:left w:w="108" w:type="dxa"/>
            <w:bottom w:w="0" w:type="dxa"/>
            <w:right w:w="108" w:type="dxa"/>
          </w:tblCellMar>
        </w:tblPrEx>
        <w:trPr>
          <w:trHeight w:val="0" w:hRule="atLeast"/>
          <w:tblHeader/>
          <w:jc w:val="center"/>
        </w:trPr>
        <w:tc>
          <w:tcPr>
            <w:tcW w:w="5071" w:type="dxa"/>
            <w:tcBorders>
              <w:top w:val="single" w:color="auto" w:sz="12" w:space="0"/>
              <w:left w:val="nil"/>
              <w:bottom w:val="nil"/>
              <w:right w:val="nil"/>
            </w:tcBorders>
            <w:noWrap w:val="0"/>
            <w:tcMar>
              <w:top w:w="-1" w:type="dxa"/>
              <w:left w:w="-1" w:type="dxa"/>
              <w:bottom w:w="-1" w:type="dxa"/>
              <w:right w:w="-1" w:type="dxa"/>
            </w:tcMar>
            <w:vAlign w:val="center"/>
          </w:tcPr>
          <w:p w14:paraId="2D2842CF">
            <w:pPr>
              <w:pStyle w:val="28"/>
              <w:snapToGrid w:val="0"/>
              <w:spacing w:line="240" w:lineRule="auto"/>
              <w:ind w:left="0" w:leftChars="0" w:right="0" w:rightChars="0" w:firstLine="0" w:firstLineChars="0"/>
              <w:jc w:val="center"/>
              <w:rPr>
                <w:b/>
              </w:rPr>
            </w:pPr>
            <w:r>
              <w:rPr>
                <w:b/>
              </w:rPr>
              <w:t>参数名称</w:t>
            </w:r>
          </w:p>
        </w:tc>
        <w:tc>
          <w:tcPr>
            <w:tcW w:w="1481" w:type="dxa"/>
            <w:tcBorders>
              <w:top w:val="single" w:color="auto" w:sz="12" w:space="0"/>
              <w:left w:val="nil"/>
              <w:bottom w:val="nil"/>
              <w:right w:val="nil"/>
            </w:tcBorders>
            <w:noWrap w:val="0"/>
            <w:tcMar>
              <w:top w:w="-1" w:type="dxa"/>
              <w:left w:w="-1" w:type="dxa"/>
              <w:bottom w:w="-1" w:type="dxa"/>
              <w:right w:w="-1" w:type="dxa"/>
            </w:tcMar>
            <w:vAlign w:val="center"/>
          </w:tcPr>
          <w:p w14:paraId="19813A51">
            <w:pPr>
              <w:pStyle w:val="28"/>
              <w:snapToGrid w:val="0"/>
              <w:spacing w:line="240" w:lineRule="auto"/>
              <w:ind w:left="0" w:leftChars="0" w:right="0" w:rightChars="0" w:firstLine="0" w:firstLineChars="0"/>
              <w:jc w:val="center"/>
              <w:rPr>
                <w:b/>
              </w:rPr>
            </w:pPr>
            <w:r>
              <w:rPr>
                <w:b/>
              </w:rPr>
              <w:t>数值</w:t>
            </w:r>
          </w:p>
        </w:tc>
        <w:tc>
          <w:tcPr>
            <w:tcW w:w="1367" w:type="dxa"/>
            <w:tcBorders>
              <w:top w:val="single" w:color="auto" w:sz="12" w:space="0"/>
              <w:left w:val="nil"/>
              <w:bottom w:val="nil"/>
              <w:right w:val="nil"/>
            </w:tcBorders>
            <w:noWrap w:val="0"/>
            <w:tcMar>
              <w:top w:w="-1" w:type="dxa"/>
              <w:left w:w="-1" w:type="dxa"/>
              <w:bottom w:w="-1" w:type="dxa"/>
              <w:right w:w="-1" w:type="dxa"/>
            </w:tcMar>
            <w:vAlign w:val="center"/>
          </w:tcPr>
          <w:p w14:paraId="5AA7D009">
            <w:pPr>
              <w:pStyle w:val="28"/>
              <w:snapToGrid w:val="0"/>
              <w:spacing w:line="240" w:lineRule="auto"/>
              <w:ind w:left="0" w:leftChars="0" w:right="0" w:rightChars="0" w:firstLine="0" w:firstLineChars="0"/>
              <w:jc w:val="center"/>
              <w:rPr>
                <w:b/>
              </w:rPr>
            </w:pPr>
            <w:r>
              <w:rPr>
                <w:b/>
              </w:rPr>
              <w:t>单位</w:t>
            </w:r>
          </w:p>
        </w:tc>
      </w:tr>
      <w:tr w14:paraId="76CB614B">
        <w:tblPrEx>
          <w:tblCellMar>
            <w:top w:w="0" w:type="dxa"/>
            <w:left w:w="108" w:type="dxa"/>
            <w:bottom w:w="0" w:type="dxa"/>
            <w:right w:w="108" w:type="dxa"/>
          </w:tblCellMar>
        </w:tblPrEx>
        <w:trPr>
          <w:trHeight w:val="0" w:hRule="atLeast"/>
          <w:jc w:val="center"/>
        </w:trPr>
        <w:tc>
          <w:tcPr>
            <w:tcW w:w="5071" w:type="dxa"/>
            <w:tcBorders>
              <w:top w:val="single" w:color="auto" w:sz="4" w:space="0"/>
              <w:left w:val="nil"/>
              <w:bottom w:val="nil"/>
              <w:right w:val="nil"/>
            </w:tcBorders>
            <w:noWrap w:val="0"/>
            <w:tcMar>
              <w:top w:w="-1" w:type="dxa"/>
              <w:left w:w="-1" w:type="dxa"/>
              <w:bottom w:w="-1" w:type="dxa"/>
              <w:right w:w="-1" w:type="dxa"/>
            </w:tcMar>
            <w:vAlign w:val="center"/>
          </w:tcPr>
          <w:p w14:paraId="11B8856C">
            <w:pPr>
              <w:pStyle w:val="28"/>
              <w:snapToGrid w:val="0"/>
              <w:spacing w:line="240" w:lineRule="auto"/>
              <w:ind w:left="0" w:leftChars="0" w:right="0" w:rightChars="0" w:firstLine="0" w:firstLineChars="0"/>
              <w:jc w:val="center"/>
            </w:pPr>
            <w:r>
              <w:t>制动盘外径</w:t>
            </w:r>
          </w:p>
        </w:tc>
        <w:tc>
          <w:tcPr>
            <w:tcW w:w="1481" w:type="dxa"/>
            <w:tcBorders>
              <w:top w:val="single" w:color="auto" w:sz="4" w:space="0"/>
              <w:left w:val="nil"/>
              <w:bottom w:val="nil"/>
              <w:right w:val="nil"/>
            </w:tcBorders>
            <w:noWrap w:val="0"/>
            <w:tcMar>
              <w:top w:w="-1" w:type="dxa"/>
              <w:left w:w="-1" w:type="dxa"/>
              <w:bottom w:w="-1" w:type="dxa"/>
              <w:right w:w="-1" w:type="dxa"/>
            </w:tcMar>
            <w:vAlign w:val="center"/>
          </w:tcPr>
          <w:p w14:paraId="0643A8E1">
            <w:pPr>
              <w:pStyle w:val="28"/>
              <w:snapToGrid w:val="0"/>
              <w:spacing w:line="240" w:lineRule="auto"/>
              <w:ind w:left="0" w:leftChars="0" w:right="0" w:rightChars="0" w:firstLine="0" w:firstLineChars="0"/>
              <w:jc w:val="left"/>
            </w:pPr>
            <w:r>
              <w:t>200</w:t>
            </w:r>
          </w:p>
        </w:tc>
        <w:tc>
          <w:tcPr>
            <w:tcW w:w="1367" w:type="dxa"/>
            <w:tcBorders>
              <w:top w:val="single" w:color="auto" w:sz="4" w:space="0"/>
              <w:left w:val="nil"/>
              <w:bottom w:val="nil"/>
              <w:right w:val="nil"/>
            </w:tcBorders>
            <w:noWrap w:val="0"/>
            <w:tcMar>
              <w:top w:w="-1" w:type="dxa"/>
              <w:left w:w="-1" w:type="dxa"/>
              <w:bottom w:w="-1" w:type="dxa"/>
              <w:right w:w="-1" w:type="dxa"/>
            </w:tcMar>
            <w:vAlign w:val="center"/>
          </w:tcPr>
          <w:p w14:paraId="4C27EB58">
            <w:pPr>
              <w:pStyle w:val="28"/>
              <w:snapToGrid w:val="0"/>
              <w:spacing w:line="240" w:lineRule="auto"/>
              <w:ind w:left="0" w:leftChars="0" w:right="0" w:rightChars="0" w:firstLine="0" w:firstLineChars="0"/>
              <w:jc w:val="center"/>
            </w:pPr>
            <w:r>
              <w:t>mm</w:t>
            </w:r>
          </w:p>
        </w:tc>
      </w:tr>
      <w:tr w14:paraId="1793E0BE">
        <w:tblPrEx>
          <w:tblCellMar>
            <w:top w:w="0" w:type="dxa"/>
            <w:left w:w="108" w:type="dxa"/>
            <w:bottom w:w="0" w:type="dxa"/>
            <w:right w:w="108" w:type="dxa"/>
          </w:tblCellMar>
        </w:tblPrEx>
        <w:trPr>
          <w:trHeight w:val="0" w:hRule="atLeast"/>
          <w:jc w:val="center"/>
        </w:trPr>
        <w:tc>
          <w:tcPr>
            <w:tcW w:w="5071" w:type="dxa"/>
            <w:tcBorders>
              <w:top w:val="nil"/>
              <w:left w:val="nil"/>
              <w:bottom w:val="nil"/>
              <w:right w:val="nil"/>
            </w:tcBorders>
            <w:noWrap w:val="0"/>
            <w:tcMar>
              <w:top w:w="-1" w:type="dxa"/>
              <w:left w:w="-1" w:type="dxa"/>
              <w:bottom w:w="-1" w:type="dxa"/>
              <w:right w:w="-1" w:type="dxa"/>
            </w:tcMar>
            <w:vAlign w:val="center"/>
          </w:tcPr>
          <w:p w14:paraId="7B2224AB">
            <w:pPr>
              <w:pStyle w:val="28"/>
              <w:snapToGrid w:val="0"/>
              <w:spacing w:line="240" w:lineRule="auto"/>
              <w:ind w:left="0" w:leftChars="0" w:right="0" w:rightChars="0" w:firstLine="0" w:firstLineChars="0"/>
              <w:jc w:val="center"/>
            </w:pPr>
            <w:r>
              <w:t>制动盘内径（中心孔）</w:t>
            </w:r>
          </w:p>
        </w:tc>
        <w:tc>
          <w:tcPr>
            <w:tcW w:w="1481" w:type="dxa"/>
            <w:tcBorders>
              <w:top w:val="nil"/>
              <w:left w:val="nil"/>
              <w:bottom w:val="nil"/>
              <w:right w:val="nil"/>
            </w:tcBorders>
            <w:noWrap w:val="0"/>
            <w:tcMar>
              <w:top w:w="-1" w:type="dxa"/>
              <w:left w:w="-1" w:type="dxa"/>
              <w:bottom w:w="-1" w:type="dxa"/>
              <w:right w:w="-1" w:type="dxa"/>
            </w:tcMar>
            <w:vAlign w:val="center"/>
          </w:tcPr>
          <w:p w14:paraId="12339F39">
            <w:pPr>
              <w:pStyle w:val="28"/>
              <w:snapToGrid w:val="0"/>
              <w:spacing w:line="240" w:lineRule="auto"/>
              <w:ind w:left="0" w:leftChars="0" w:right="0" w:rightChars="0" w:firstLine="0" w:firstLineChars="0"/>
              <w:jc w:val="left"/>
            </w:pPr>
            <w:r>
              <w:t>60</w:t>
            </w:r>
          </w:p>
        </w:tc>
        <w:tc>
          <w:tcPr>
            <w:tcW w:w="1367" w:type="dxa"/>
            <w:tcBorders>
              <w:top w:val="nil"/>
              <w:left w:val="nil"/>
              <w:bottom w:val="nil"/>
              <w:right w:val="nil"/>
            </w:tcBorders>
            <w:noWrap w:val="0"/>
            <w:tcMar>
              <w:top w:w="-1" w:type="dxa"/>
              <w:left w:w="-1" w:type="dxa"/>
              <w:bottom w:w="-1" w:type="dxa"/>
              <w:right w:w="-1" w:type="dxa"/>
            </w:tcMar>
            <w:vAlign w:val="center"/>
          </w:tcPr>
          <w:p w14:paraId="0E93A870">
            <w:pPr>
              <w:pStyle w:val="28"/>
              <w:snapToGrid w:val="0"/>
              <w:spacing w:line="240" w:lineRule="auto"/>
              <w:ind w:left="0" w:leftChars="0" w:right="0" w:rightChars="0" w:firstLine="0" w:firstLineChars="0"/>
              <w:jc w:val="center"/>
            </w:pPr>
            <w:r>
              <w:t>mm</w:t>
            </w:r>
          </w:p>
        </w:tc>
      </w:tr>
      <w:tr w14:paraId="6D47D1BC">
        <w:tblPrEx>
          <w:tblCellMar>
            <w:top w:w="0" w:type="dxa"/>
            <w:left w:w="108" w:type="dxa"/>
            <w:bottom w:w="0" w:type="dxa"/>
            <w:right w:w="108" w:type="dxa"/>
          </w:tblCellMar>
        </w:tblPrEx>
        <w:trPr>
          <w:trHeight w:val="0" w:hRule="atLeast"/>
          <w:jc w:val="center"/>
        </w:trPr>
        <w:tc>
          <w:tcPr>
            <w:tcW w:w="5071" w:type="dxa"/>
            <w:tcBorders>
              <w:top w:val="nil"/>
              <w:left w:val="nil"/>
              <w:bottom w:val="nil"/>
              <w:right w:val="nil"/>
            </w:tcBorders>
            <w:noWrap w:val="0"/>
            <w:tcMar>
              <w:top w:w="-1" w:type="dxa"/>
              <w:left w:w="-1" w:type="dxa"/>
              <w:bottom w:w="-1" w:type="dxa"/>
              <w:right w:w="-1" w:type="dxa"/>
            </w:tcMar>
            <w:vAlign w:val="center"/>
          </w:tcPr>
          <w:p w14:paraId="02CDE2B0">
            <w:pPr>
              <w:pStyle w:val="28"/>
              <w:snapToGrid w:val="0"/>
              <w:spacing w:line="240" w:lineRule="auto"/>
              <w:ind w:left="0" w:leftChars="0" w:right="0" w:rightChars="0" w:firstLine="0" w:firstLineChars="0"/>
              <w:jc w:val="center"/>
            </w:pPr>
            <w:r>
              <w:t>螺栓孔分布圆直径</w:t>
            </w:r>
          </w:p>
        </w:tc>
        <w:tc>
          <w:tcPr>
            <w:tcW w:w="1481" w:type="dxa"/>
            <w:tcBorders>
              <w:top w:val="nil"/>
              <w:left w:val="nil"/>
              <w:bottom w:val="nil"/>
              <w:right w:val="nil"/>
            </w:tcBorders>
            <w:noWrap w:val="0"/>
            <w:tcMar>
              <w:top w:w="-1" w:type="dxa"/>
              <w:left w:w="-1" w:type="dxa"/>
              <w:bottom w:w="-1" w:type="dxa"/>
              <w:right w:w="-1" w:type="dxa"/>
            </w:tcMar>
            <w:vAlign w:val="center"/>
          </w:tcPr>
          <w:p w14:paraId="6A7AAC8F">
            <w:pPr>
              <w:pStyle w:val="28"/>
              <w:snapToGrid w:val="0"/>
              <w:spacing w:line="240" w:lineRule="auto"/>
              <w:ind w:left="0" w:leftChars="0" w:right="0" w:rightChars="0" w:firstLine="0" w:firstLineChars="0"/>
              <w:jc w:val="left"/>
            </w:pPr>
            <w:r>
              <w:t>120</w:t>
            </w:r>
          </w:p>
        </w:tc>
        <w:tc>
          <w:tcPr>
            <w:tcW w:w="1367" w:type="dxa"/>
            <w:tcBorders>
              <w:top w:val="nil"/>
              <w:left w:val="nil"/>
              <w:bottom w:val="nil"/>
              <w:right w:val="nil"/>
            </w:tcBorders>
            <w:noWrap w:val="0"/>
            <w:tcMar>
              <w:top w:w="-1" w:type="dxa"/>
              <w:left w:w="-1" w:type="dxa"/>
              <w:bottom w:w="-1" w:type="dxa"/>
              <w:right w:w="-1" w:type="dxa"/>
            </w:tcMar>
            <w:vAlign w:val="center"/>
          </w:tcPr>
          <w:p w14:paraId="12CA3596">
            <w:pPr>
              <w:pStyle w:val="28"/>
              <w:snapToGrid w:val="0"/>
              <w:spacing w:line="240" w:lineRule="auto"/>
              <w:ind w:left="0" w:leftChars="0" w:right="0" w:rightChars="0" w:firstLine="0" w:firstLineChars="0"/>
              <w:jc w:val="center"/>
            </w:pPr>
            <w:r>
              <w:t>mm</w:t>
            </w:r>
          </w:p>
        </w:tc>
      </w:tr>
      <w:tr w14:paraId="1BF363DA">
        <w:tblPrEx>
          <w:tblCellMar>
            <w:top w:w="0" w:type="dxa"/>
            <w:left w:w="108" w:type="dxa"/>
            <w:bottom w:w="0" w:type="dxa"/>
            <w:right w:w="108" w:type="dxa"/>
          </w:tblCellMar>
        </w:tblPrEx>
        <w:trPr>
          <w:trHeight w:val="0" w:hRule="atLeast"/>
          <w:jc w:val="center"/>
        </w:trPr>
        <w:tc>
          <w:tcPr>
            <w:tcW w:w="5071" w:type="dxa"/>
            <w:tcBorders>
              <w:top w:val="nil"/>
              <w:left w:val="nil"/>
              <w:bottom w:val="nil"/>
              <w:right w:val="nil"/>
            </w:tcBorders>
            <w:noWrap w:val="0"/>
            <w:tcMar>
              <w:top w:w="-1" w:type="dxa"/>
              <w:left w:w="-1" w:type="dxa"/>
              <w:bottom w:w="-1" w:type="dxa"/>
              <w:right w:w="-1" w:type="dxa"/>
            </w:tcMar>
            <w:vAlign w:val="center"/>
          </w:tcPr>
          <w:p w14:paraId="4F9D3E39">
            <w:pPr>
              <w:pStyle w:val="28"/>
              <w:snapToGrid w:val="0"/>
              <w:spacing w:line="240" w:lineRule="auto"/>
              <w:ind w:left="0" w:leftChars="0" w:right="0" w:rightChars="0" w:firstLine="0" w:firstLineChars="0"/>
              <w:jc w:val="center"/>
            </w:pPr>
            <w:r>
              <w:t>螺栓孔直径</w:t>
            </w:r>
          </w:p>
        </w:tc>
        <w:tc>
          <w:tcPr>
            <w:tcW w:w="1481" w:type="dxa"/>
            <w:tcBorders>
              <w:top w:val="nil"/>
              <w:left w:val="nil"/>
              <w:bottom w:val="nil"/>
              <w:right w:val="nil"/>
            </w:tcBorders>
            <w:noWrap w:val="0"/>
            <w:tcMar>
              <w:top w:w="-1" w:type="dxa"/>
              <w:left w:w="-1" w:type="dxa"/>
              <w:bottom w:w="-1" w:type="dxa"/>
              <w:right w:w="-1" w:type="dxa"/>
            </w:tcMar>
            <w:vAlign w:val="center"/>
          </w:tcPr>
          <w:p w14:paraId="111A95D3">
            <w:pPr>
              <w:pStyle w:val="28"/>
              <w:snapToGrid w:val="0"/>
              <w:spacing w:line="240" w:lineRule="auto"/>
              <w:ind w:left="0" w:leftChars="0" w:right="0" w:rightChars="0" w:firstLine="0" w:firstLineChars="0"/>
              <w:jc w:val="left"/>
            </w:pPr>
            <w:r>
              <w:t>8</w:t>
            </w:r>
          </w:p>
        </w:tc>
        <w:tc>
          <w:tcPr>
            <w:tcW w:w="1367" w:type="dxa"/>
            <w:tcBorders>
              <w:top w:val="nil"/>
              <w:left w:val="nil"/>
              <w:bottom w:val="nil"/>
              <w:right w:val="nil"/>
            </w:tcBorders>
            <w:noWrap w:val="0"/>
            <w:tcMar>
              <w:top w:w="-1" w:type="dxa"/>
              <w:left w:w="-1" w:type="dxa"/>
              <w:bottom w:w="-1" w:type="dxa"/>
              <w:right w:w="-1" w:type="dxa"/>
            </w:tcMar>
            <w:vAlign w:val="center"/>
          </w:tcPr>
          <w:p w14:paraId="50E29882">
            <w:pPr>
              <w:pStyle w:val="28"/>
              <w:snapToGrid w:val="0"/>
              <w:spacing w:line="240" w:lineRule="auto"/>
              <w:ind w:left="0" w:leftChars="0" w:right="0" w:rightChars="0" w:firstLine="0" w:firstLineChars="0"/>
              <w:jc w:val="center"/>
            </w:pPr>
            <w:r>
              <w:t>mm</w:t>
            </w:r>
          </w:p>
        </w:tc>
      </w:tr>
      <w:tr w14:paraId="59193163">
        <w:tblPrEx>
          <w:tblCellMar>
            <w:top w:w="0" w:type="dxa"/>
            <w:left w:w="108" w:type="dxa"/>
            <w:bottom w:w="0" w:type="dxa"/>
            <w:right w:w="108" w:type="dxa"/>
          </w:tblCellMar>
        </w:tblPrEx>
        <w:trPr>
          <w:trHeight w:val="0" w:hRule="atLeast"/>
          <w:jc w:val="center"/>
        </w:trPr>
        <w:tc>
          <w:tcPr>
            <w:tcW w:w="5071" w:type="dxa"/>
            <w:tcBorders>
              <w:top w:val="nil"/>
              <w:left w:val="nil"/>
              <w:bottom w:val="nil"/>
              <w:right w:val="nil"/>
            </w:tcBorders>
            <w:noWrap w:val="0"/>
            <w:tcMar>
              <w:top w:w="-1" w:type="dxa"/>
              <w:left w:w="-1" w:type="dxa"/>
              <w:bottom w:w="-1" w:type="dxa"/>
              <w:right w:w="-1" w:type="dxa"/>
            </w:tcMar>
            <w:vAlign w:val="center"/>
          </w:tcPr>
          <w:p w14:paraId="3D97D145">
            <w:pPr>
              <w:pStyle w:val="28"/>
              <w:snapToGrid w:val="0"/>
              <w:spacing w:line="240" w:lineRule="auto"/>
              <w:ind w:left="0" w:leftChars="0" w:right="0" w:rightChars="0" w:firstLine="0" w:firstLineChars="0"/>
              <w:jc w:val="center"/>
            </w:pPr>
            <w:r>
              <w:t>螺栓孔数量</w:t>
            </w:r>
          </w:p>
        </w:tc>
        <w:tc>
          <w:tcPr>
            <w:tcW w:w="1481" w:type="dxa"/>
            <w:tcBorders>
              <w:top w:val="nil"/>
              <w:left w:val="nil"/>
              <w:bottom w:val="nil"/>
              <w:right w:val="nil"/>
            </w:tcBorders>
            <w:noWrap w:val="0"/>
            <w:tcMar>
              <w:top w:w="-1" w:type="dxa"/>
              <w:left w:w="-1" w:type="dxa"/>
              <w:bottom w:w="-1" w:type="dxa"/>
              <w:right w:w="-1" w:type="dxa"/>
            </w:tcMar>
            <w:vAlign w:val="center"/>
          </w:tcPr>
          <w:p w14:paraId="683A6468">
            <w:pPr>
              <w:pStyle w:val="28"/>
              <w:snapToGrid w:val="0"/>
              <w:spacing w:line="240" w:lineRule="auto"/>
              <w:ind w:left="0" w:leftChars="0" w:right="0" w:rightChars="0" w:firstLine="0" w:firstLineChars="0"/>
              <w:jc w:val="left"/>
            </w:pPr>
            <w:r>
              <w:t>6</w:t>
            </w:r>
          </w:p>
        </w:tc>
        <w:tc>
          <w:tcPr>
            <w:tcW w:w="1367" w:type="dxa"/>
            <w:tcBorders>
              <w:top w:val="nil"/>
              <w:left w:val="nil"/>
              <w:bottom w:val="nil"/>
              <w:right w:val="nil"/>
            </w:tcBorders>
            <w:noWrap w:val="0"/>
            <w:tcMar>
              <w:top w:w="-1" w:type="dxa"/>
              <w:left w:w="-1" w:type="dxa"/>
              <w:bottom w:w="-1" w:type="dxa"/>
              <w:right w:w="-1" w:type="dxa"/>
            </w:tcMar>
            <w:vAlign w:val="center"/>
          </w:tcPr>
          <w:p w14:paraId="294A06E2">
            <w:pPr>
              <w:pStyle w:val="28"/>
              <w:snapToGrid w:val="0"/>
              <w:spacing w:line="240" w:lineRule="auto"/>
              <w:ind w:left="0" w:leftChars="0" w:right="0" w:rightChars="0" w:firstLine="0" w:firstLineChars="0"/>
              <w:jc w:val="center"/>
            </w:pPr>
            <w:r>
              <w:t>个</w:t>
            </w:r>
          </w:p>
        </w:tc>
      </w:tr>
      <w:tr w14:paraId="0D3649A1">
        <w:tblPrEx>
          <w:tblCellMar>
            <w:top w:w="0" w:type="dxa"/>
            <w:left w:w="108" w:type="dxa"/>
            <w:bottom w:w="0" w:type="dxa"/>
            <w:right w:w="108" w:type="dxa"/>
          </w:tblCellMar>
        </w:tblPrEx>
        <w:trPr>
          <w:trHeight w:val="0" w:hRule="atLeast"/>
          <w:jc w:val="center"/>
        </w:trPr>
        <w:tc>
          <w:tcPr>
            <w:tcW w:w="5071" w:type="dxa"/>
            <w:tcBorders>
              <w:top w:val="nil"/>
              <w:left w:val="nil"/>
              <w:bottom w:val="nil"/>
              <w:right w:val="nil"/>
            </w:tcBorders>
            <w:noWrap w:val="0"/>
            <w:tcMar>
              <w:top w:w="-1" w:type="dxa"/>
              <w:left w:w="-1" w:type="dxa"/>
              <w:bottom w:w="-1" w:type="dxa"/>
              <w:right w:w="-1" w:type="dxa"/>
            </w:tcMar>
            <w:vAlign w:val="center"/>
          </w:tcPr>
          <w:p w14:paraId="53455FFE">
            <w:pPr>
              <w:pStyle w:val="28"/>
              <w:snapToGrid w:val="0"/>
              <w:spacing w:line="240" w:lineRule="auto"/>
              <w:ind w:left="0" w:leftChars="0" w:right="0" w:rightChars="0" w:firstLine="0" w:firstLineChars="0"/>
              <w:jc w:val="center"/>
            </w:pPr>
            <w:r>
              <w:t>通风孔分布圆半径</w:t>
            </w:r>
          </w:p>
        </w:tc>
        <w:tc>
          <w:tcPr>
            <w:tcW w:w="1481" w:type="dxa"/>
            <w:tcBorders>
              <w:top w:val="nil"/>
              <w:left w:val="nil"/>
              <w:bottom w:val="nil"/>
              <w:right w:val="nil"/>
            </w:tcBorders>
            <w:noWrap w:val="0"/>
            <w:tcMar>
              <w:top w:w="-1" w:type="dxa"/>
              <w:left w:w="-1" w:type="dxa"/>
              <w:bottom w:w="-1" w:type="dxa"/>
              <w:right w:w="-1" w:type="dxa"/>
            </w:tcMar>
            <w:vAlign w:val="center"/>
          </w:tcPr>
          <w:p w14:paraId="0E9B523E">
            <w:pPr>
              <w:pStyle w:val="28"/>
              <w:snapToGrid w:val="0"/>
              <w:spacing w:line="240" w:lineRule="auto"/>
              <w:ind w:left="0" w:leftChars="0" w:right="0" w:rightChars="0" w:firstLine="0" w:firstLineChars="0"/>
              <w:jc w:val="left"/>
            </w:pPr>
            <w:r>
              <w:t>66.84</w:t>
            </w:r>
          </w:p>
        </w:tc>
        <w:tc>
          <w:tcPr>
            <w:tcW w:w="1367" w:type="dxa"/>
            <w:tcBorders>
              <w:top w:val="nil"/>
              <w:left w:val="nil"/>
              <w:bottom w:val="nil"/>
              <w:right w:val="nil"/>
            </w:tcBorders>
            <w:noWrap w:val="0"/>
            <w:tcMar>
              <w:top w:w="-1" w:type="dxa"/>
              <w:left w:w="-1" w:type="dxa"/>
              <w:bottom w:w="-1" w:type="dxa"/>
              <w:right w:w="-1" w:type="dxa"/>
            </w:tcMar>
            <w:vAlign w:val="center"/>
          </w:tcPr>
          <w:p w14:paraId="21EC8AF4">
            <w:pPr>
              <w:pStyle w:val="28"/>
              <w:snapToGrid w:val="0"/>
              <w:spacing w:line="240" w:lineRule="auto"/>
              <w:ind w:left="0" w:leftChars="0" w:right="0" w:rightChars="0" w:firstLine="0" w:firstLineChars="0"/>
              <w:jc w:val="center"/>
            </w:pPr>
            <w:r>
              <w:t>mm</w:t>
            </w:r>
          </w:p>
        </w:tc>
      </w:tr>
      <w:tr w14:paraId="227AD7FE">
        <w:tblPrEx>
          <w:tblCellMar>
            <w:top w:w="0" w:type="dxa"/>
            <w:left w:w="108" w:type="dxa"/>
            <w:bottom w:w="0" w:type="dxa"/>
            <w:right w:w="108" w:type="dxa"/>
          </w:tblCellMar>
        </w:tblPrEx>
        <w:trPr>
          <w:trHeight w:val="0" w:hRule="atLeast"/>
          <w:jc w:val="center"/>
        </w:trPr>
        <w:tc>
          <w:tcPr>
            <w:tcW w:w="5071" w:type="dxa"/>
            <w:tcBorders>
              <w:top w:val="nil"/>
              <w:left w:val="nil"/>
              <w:bottom w:val="nil"/>
              <w:right w:val="nil"/>
            </w:tcBorders>
            <w:noWrap w:val="0"/>
            <w:tcMar>
              <w:top w:w="-1" w:type="dxa"/>
              <w:left w:w="-1" w:type="dxa"/>
              <w:bottom w:w="-1" w:type="dxa"/>
              <w:right w:w="-1" w:type="dxa"/>
            </w:tcMar>
            <w:vAlign w:val="center"/>
          </w:tcPr>
          <w:p w14:paraId="6F48F6C0">
            <w:pPr>
              <w:pStyle w:val="28"/>
              <w:snapToGrid w:val="0"/>
              <w:spacing w:line="240" w:lineRule="auto"/>
              <w:ind w:left="0" w:leftChars="0" w:right="0" w:rightChars="0" w:firstLine="0" w:firstLineChars="0"/>
              <w:jc w:val="center"/>
            </w:pPr>
            <w:r>
              <w:t>通风孔直径</w:t>
            </w:r>
          </w:p>
        </w:tc>
        <w:tc>
          <w:tcPr>
            <w:tcW w:w="1481" w:type="dxa"/>
            <w:tcBorders>
              <w:top w:val="nil"/>
              <w:left w:val="nil"/>
              <w:bottom w:val="nil"/>
              <w:right w:val="nil"/>
            </w:tcBorders>
            <w:noWrap w:val="0"/>
            <w:tcMar>
              <w:top w:w="-1" w:type="dxa"/>
              <w:left w:w="-1" w:type="dxa"/>
              <w:bottom w:w="-1" w:type="dxa"/>
              <w:right w:w="-1" w:type="dxa"/>
            </w:tcMar>
            <w:vAlign w:val="center"/>
          </w:tcPr>
          <w:p w14:paraId="0251B8F5">
            <w:pPr>
              <w:pStyle w:val="28"/>
              <w:snapToGrid w:val="0"/>
              <w:spacing w:line="240" w:lineRule="auto"/>
              <w:ind w:left="0" w:leftChars="0" w:right="0" w:rightChars="0" w:firstLine="0" w:firstLineChars="0"/>
              <w:jc w:val="left"/>
            </w:pPr>
            <w:r>
              <w:t>10</w:t>
            </w:r>
          </w:p>
        </w:tc>
        <w:tc>
          <w:tcPr>
            <w:tcW w:w="1367" w:type="dxa"/>
            <w:tcBorders>
              <w:top w:val="nil"/>
              <w:left w:val="nil"/>
              <w:bottom w:val="nil"/>
              <w:right w:val="nil"/>
            </w:tcBorders>
            <w:noWrap w:val="0"/>
            <w:tcMar>
              <w:top w:w="-1" w:type="dxa"/>
              <w:left w:w="-1" w:type="dxa"/>
              <w:bottom w:w="-1" w:type="dxa"/>
              <w:right w:w="-1" w:type="dxa"/>
            </w:tcMar>
            <w:vAlign w:val="center"/>
          </w:tcPr>
          <w:p w14:paraId="60768DE6">
            <w:pPr>
              <w:pStyle w:val="28"/>
              <w:snapToGrid w:val="0"/>
              <w:spacing w:line="240" w:lineRule="auto"/>
              <w:ind w:left="0" w:leftChars="0" w:right="0" w:rightChars="0" w:firstLine="0" w:firstLineChars="0"/>
              <w:jc w:val="center"/>
            </w:pPr>
            <w:r>
              <w:t>mm</w:t>
            </w:r>
          </w:p>
        </w:tc>
      </w:tr>
      <w:tr w14:paraId="328EA3AA">
        <w:tblPrEx>
          <w:tblCellMar>
            <w:top w:w="0" w:type="dxa"/>
            <w:left w:w="108" w:type="dxa"/>
            <w:bottom w:w="0" w:type="dxa"/>
            <w:right w:w="108" w:type="dxa"/>
          </w:tblCellMar>
        </w:tblPrEx>
        <w:trPr>
          <w:trHeight w:val="0" w:hRule="atLeast"/>
          <w:jc w:val="center"/>
        </w:trPr>
        <w:tc>
          <w:tcPr>
            <w:tcW w:w="5071" w:type="dxa"/>
            <w:tcBorders>
              <w:top w:val="nil"/>
              <w:left w:val="nil"/>
              <w:bottom w:val="single" w:color="auto" w:sz="12" w:space="0"/>
              <w:right w:val="nil"/>
            </w:tcBorders>
            <w:noWrap w:val="0"/>
            <w:tcMar>
              <w:top w:w="-1" w:type="dxa"/>
              <w:left w:w="-1" w:type="dxa"/>
              <w:bottom w:w="-1" w:type="dxa"/>
              <w:right w:w="-1" w:type="dxa"/>
            </w:tcMar>
            <w:vAlign w:val="center"/>
          </w:tcPr>
          <w:p w14:paraId="362D8F1F">
            <w:pPr>
              <w:pStyle w:val="28"/>
              <w:snapToGrid w:val="0"/>
              <w:spacing w:line="240" w:lineRule="auto"/>
              <w:ind w:left="0" w:leftChars="0" w:right="0" w:rightChars="0" w:firstLine="0" w:firstLineChars="0"/>
              <w:jc w:val="center"/>
            </w:pPr>
            <w:r>
              <w:t>通风孔数量</w:t>
            </w:r>
          </w:p>
        </w:tc>
        <w:tc>
          <w:tcPr>
            <w:tcW w:w="1481" w:type="dxa"/>
            <w:tcBorders>
              <w:top w:val="nil"/>
              <w:left w:val="nil"/>
              <w:bottom w:val="single" w:color="auto" w:sz="12" w:space="0"/>
              <w:right w:val="nil"/>
            </w:tcBorders>
            <w:noWrap w:val="0"/>
            <w:tcMar>
              <w:top w:w="-1" w:type="dxa"/>
              <w:left w:w="-1" w:type="dxa"/>
              <w:bottom w:w="-1" w:type="dxa"/>
              <w:right w:w="-1" w:type="dxa"/>
            </w:tcMar>
            <w:vAlign w:val="center"/>
          </w:tcPr>
          <w:p w14:paraId="31C2E485">
            <w:pPr>
              <w:pStyle w:val="28"/>
              <w:snapToGrid w:val="0"/>
              <w:spacing w:line="240" w:lineRule="auto"/>
              <w:ind w:left="0" w:leftChars="0" w:right="0" w:rightChars="0" w:firstLine="0" w:firstLineChars="0"/>
              <w:jc w:val="left"/>
            </w:pPr>
            <w:r>
              <w:t>6</w:t>
            </w:r>
          </w:p>
        </w:tc>
        <w:tc>
          <w:tcPr>
            <w:tcW w:w="1367" w:type="dxa"/>
            <w:tcBorders>
              <w:top w:val="nil"/>
              <w:left w:val="nil"/>
              <w:bottom w:val="single" w:color="auto" w:sz="12" w:space="0"/>
              <w:right w:val="nil"/>
            </w:tcBorders>
            <w:noWrap w:val="0"/>
            <w:tcMar>
              <w:top w:w="-1" w:type="dxa"/>
              <w:left w:w="-1" w:type="dxa"/>
              <w:bottom w:w="-1" w:type="dxa"/>
              <w:right w:w="-1" w:type="dxa"/>
            </w:tcMar>
            <w:vAlign w:val="center"/>
          </w:tcPr>
          <w:p w14:paraId="1E40F338">
            <w:pPr>
              <w:pStyle w:val="28"/>
              <w:snapToGrid w:val="0"/>
              <w:spacing w:line="240" w:lineRule="auto"/>
              <w:ind w:left="0" w:leftChars="0" w:right="0" w:rightChars="0" w:firstLine="0" w:firstLineChars="0"/>
              <w:jc w:val="center"/>
            </w:pPr>
            <w:r>
              <w:t>个</w:t>
            </w:r>
          </w:p>
        </w:tc>
      </w:tr>
      <w:bookmarkEnd w:id="71"/>
    </w:tbl>
    <w:p w14:paraId="682F8D88">
      <w:pPr>
        <w:pStyle w:val="4"/>
        <w:numPr>
          <w:ilvl w:val="0"/>
          <w:numId w:val="13"/>
        </w:numPr>
        <w:ind w:left="0" w:leftChars="0" w:firstLine="0" w:firstLineChars="0"/>
        <w:rPr>
          <w:b w:val="0"/>
          <w:bdr w:val="none" w:sz="0" w:space="0"/>
        </w:rPr>
      </w:pPr>
      <w:bookmarkStart w:id="72" w:name="_Toc13139"/>
      <w:bookmarkStart w:id="73" w:name="优化后制动盘有限元仿真"/>
      <w:r>
        <w:t>优化后制动盘有限元仿真</w:t>
      </w:r>
      <w:bookmarkEnd w:id="72"/>
    </w:p>
    <w:p w14:paraId="774C4C35">
      <w:pPr>
        <w:pStyle w:val="3"/>
        <w:rPr>
          <w:rFonts w:ascii="Times New Roman" w:hAnsi="Times New Roman" w:eastAsia="宋体" w:cs="Times New Roman"/>
          <w:sz w:val="24"/>
          <w:szCs w:val="24"/>
        </w:rPr>
      </w:pPr>
      <w:r>
        <w:rPr>
          <w:rFonts w:ascii="Times New Roman" w:hAnsi="Times New Roman" w:eastAsia="宋体" w:cs="Times New Roman"/>
          <w:sz w:val="24"/>
          <w:szCs w:val="24"/>
        </w:rPr>
        <w:t>将优化后带有通风孔的制动盘模型重新导入ANSYS Workbench建立新的静态结构分析系统（系统D）。整个ANSYS项目原理图包含四个分析系统：A为优化前静态结构分析，B为优化前模态分析，C为结构优化，D为优化后静态结构分析。项目原理图如图5-3所示。</w:t>
      </w:r>
    </w:p>
    <w:p w14:paraId="1215DB86">
      <w:pPr>
        <w:pStyle w:val="40"/>
      </w:pPr>
      <w:r>
        <w:drawing>
          <wp:inline distT="0" distB="0" distL="114300" distR="114300">
            <wp:extent cx="5334000" cy="3375025"/>
            <wp:effectExtent l="0" t="0" r="0" b="0"/>
            <wp:docPr id="134" name="Picture" descr="图5-3 ANSYS项目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descr="图5-3 ANSYS项目原理图"/>
                    <pic:cNvPicPr>
                      <a:picLocks noChangeAspect="1" noChangeArrowheads="1"/>
                    </pic:cNvPicPr>
                  </pic:nvPicPr>
                  <pic:blipFill>
                    <a:blip r:embed="rId31"/>
                    <a:stretch>
                      <a:fillRect/>
                    </a:stretch>
                  </pic:blipFill>
                  <pic:spPr>
                    <a:xfrm>
                      <a:off x="0" y="0"/>
                      <a:ext cx="5334000" cy="3375421"/>
                    </a:xfrm>
                    <a:prstGeom prst="rect">
                      <a:avLst/>
                    </a:prstGeom>
                    <a:noFill/>
                    <a:ln w="9525">
                      <a:noFill/>
                    </a:ln>
                  </pic:spPr>
                </pic:pic>
              </a:graphicData>
            </a:graphic>
          </wp:inline>
        </w:drawing>
      </w:r>
    </w:p>
    <w:p w14:paraId="393CDEE7">
      <w:pPr>
        <w:pStyle w:val="78"/>
        <w:widowControl/>
      </w:pPr>
      <w:r>
        <w:t>图5-3 ANSYS项目原理图</w:t>
      </w:r>
    </w:p>
    <w:p w14:paraId="24035F5F">
      <w:pPr>
        <w:pStyle w:val="3"/>
        <w:rPr>
          <w:rFonts w:ascii="Times New Roman" w:hAnsi="Times New Roman" w:eastAsia="宋体" w:cs="Times New Roman"/>
          <w:sz w:val="24"/>
          <w:szCs w:val="24"/>
        </w:rPr>
      </w:pPr>
      <w:r>
        <w:rPr>
          <w:rFonts w:ascii="Times New Roman" w:hAnsi="Times New Roman" w:eastAsia="宋体" w:cs="Times New Roman"/>
          <w:b/>
          <w:sz w:val="24"/>
          <w:szCs w:val="24"/>
        </w:rPr>
        <w:t>网格划分</w:t>
      </w:r>
      <w:r>
        <w:rPr>
          <w:rFonts w:ascii="Times New Roman" w:hAnsi="Times New Roman" w:eastAsia="宋体" w:cs="Times New Roman"/>
          <w:sz w:val="24"/>
          <w:szCs w:val="24"/>
        </w:rPr>
        <w:t>：采用与优化前相同的策略进行网格划分，在新增的 10 mm 通风孔边缘进行了网格细化，以准确捕捉孔口处的应力集中。优化后制动盘的网格划分如图5-4所示。</w:t>
      </w:r>
    </w:p>
    <w:p w14:paraId="13FAF5C6">
      <w:pPr>
        <w:pStyle w:val="40"/>
      </w:pPr>
      <w:r>
        <w:drawing>
          <wp:inline distT="0" distB="0" distL="114300" distR="114300">
            <wp:extent cx="5334000" cy="3678555"/>
            <wp:effectExtent l="0" t="0" r="0" b="0"/>
            <wp:docPr id="137" name="Picture" descr="图5-4 优化后制动盘网格划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descr="图5-4 优化后制动盘网格划分"/>
                    <pic:cNvPicPr>
                      <a:picLocks noChangeAspect="1" noChangeArrowheads="1"/>
                    </pic:cNvPicPr>
                  </pic:nvPicPr>
                  <pic:blipFill>
                    <a:blip r:embed="rId32"/>
                    <a:stretch>
                      <a:fillRect/>
                    </a:stretch>
                  </pic:blipFill>
                  <pic:spPr>
                    <a:xfrm>
                      <a:off x="0" y="0"/>
                      <a:ext cx="5334000" cy="3678984"/>
                    </a:xfrm>
                    <a:prstGeom prst="rect">
                      <a:avLst/>
                    </a:prstGeom>
                    <a:noFill/>
                    <a:ln w="9525">
                      <a:noFill/>
                    </a:ln>
                  </pic:spPr>
                </pic:pic>
              </a:graphicData>
            </a:graphic>
          </wp:inline>
        </w:drawing>
      </w:r>
    </w:p>
    <w:p w14:paraId="5406605F">
      <w:pPr>
        <w:pStyle w:val="78"/>
        <w:widowControl/>
      </w:pPr>
      <w:r>
        <w:t>图5-4 优化后制动盘网格划分</w:t>
      </w:r>
    </w:p>
    <w:p w14:paraId="68685921">
      <w:pPr>
        <w:pStyle w:val="3"/>
        <w:rPr>
          <w:rFonts w:ascii="Times New Roman" w:hAnsi="Times New Roman" w:eastAsia="宋体" w:cs="Times New Roman"/>
          <w:sz w:val="24"/>
          <w:szCs w:val="24"/>
        </w:rPr>
      </w:pPr>
      <w:r>
        <w:rPr>
          <w:rFonts w:ascii="Times New Roman" w:hAnsi="Times New Roman" w:eastAsia="宋体" w:cs="Times New Roman"/>
          <w:b/>
          <w:sz w:val="24"/>
          <w:szCs w:val="24"/>
        </w:rPr>
        <w:t>边界条件与载荷</w:t>
      </w:r>
      <w:r>
        <w:rPr>
          <w:rFonts w:ascii="Times New Roman" w:hAnsi="Times New Roman" w:eastAsia="宋体" w:cs="Times New Roman"/>
          <w:sz w:val="24"/>
          <w:szCs w:val="24"/>
        </w:rPr>
        <w:t>：施加与优化前完全一致的边界条件和载荷。在 6 个 8 mm 螺栓孔处施加固定支撑，保证对比分析的一致性。固定支撑设置如图5-5所示。</w:t>
      </w:r>
    </w:p>
    <w:p w14:paraId="49474813">
      <w:pPr>
        <w:pStyle w:val="40"/>
      </w:pPr>
      <w:r>
        <w:drawing>
          <wp:inline distT="0" distB="0" distL="114300" distR="114300">
            <wp:extent cx="5334000" cy="2844800"/>
            <wp:effectExtent l="0" t="0" r="0" b="0"/>
            <wp:docPr id="140" name="Picture" descr="图5-5 优化后制动盘固定支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descr="图5-5 优化后制动盘固定支撑"/>
                    <pic:cNvPicPr>
                      <a:picLocks noChangeAspect="1" noChangeArrowheads="1"/>
                    </pic:cNvPicPr>
                  </pic:nvPicPr>
                  <pic:blipFill>
                    <a:blip r:embed="rId33"/>
                    <a:stretch>
                      <a:fillRect/>
                    </a:stretch>
                  </pic:blipFill>
                  <pic:spPr>
                    <a:xfrm>
                      <a:off x="0" y="0"/>
                      <a:ext cx="5334000" cy="2844800"/>
                    </a:xfrm>
                    <a:prstGeom prst="rect">
                      <a:avLst/>
                    </a:prstGeom>
                    <a:noFill/>
                    <a:ln w="9525">
                      <a:noFill/>
                    </a:ln>
                  </pic:spPr>
                </pic:pic>
              </a:graphicData>
            </a:graphic>
          </wp:inline>
        </w:drawing>
      </w:r>
    </w:p>
    <w:p w14:paraId="689196B5">
      <w:pPr>
        <w:pStyle w:val="78"/>
        <w:widowControl/>
      </w:pPr>
      <w:r>
        <w:t>图5-5 优化后制动盘固定支撑</w:t>
      </w:r>
    </w:p>
    <w:bookmarkEnd w:id="73"/>
    <w:p w14:paraId="022358D7">
      <w:pPr>
        <w:pStyle w:val="4"/>
        <w:numPr>
          <w:ilvl w:val="0"/>
          <w:numId w:val="13"/>
        </w:numPr>
        <w:ind w:left="0" w:leftChars="0" w:firstLine="0" w:firstLineChars="0"/>
        <w:rPr>
          <w:b w:val="0"/>
          <w:bdr w:val="none" w:sz="0" w:space="0"/>
        </w:rPr>
      </w:pPr>
      <w:bookmarkStart w:id="74" w:name="_Toc18475"/>
      <w:bookmarkStart w:id="75" w:name="优化前后性能对比分析"/>
      <w:r>
        <w:t>优化前后性能对比分析</w:t>
      </w:r>
      <w:bookmarkEnd w:id="74"/>
    </w:p>
    <w:p w14:paraId="0CD5C03A">
      <w:pPr>
        <w:pStyle w:val="3"/>
        <w:rPr>
          <w:rFonts w:ascii="Times New Roman" w:hAnsi="Times New Roman" w:eastAsia="宋体" w:cs="Times New Roman"/>
          <w:sz w:val="24"/>
          <w:szCs w:val="24"/>
        </w:rPr>
      </w:pPr>
      <w:r>
        <w:rPr>
          <w:rFonts w:ascii="Times New Roman" w:hAnsi="Times New Roman" w:eastAsia="宋体" w:cs="Times New Roman"/>
          <w:sz w:val="24"/>
          <w:szCs w:val="24"/>
        </w:rPr>
        <w:t>求解完成后，提取优化后制动盘的总变形、等效弹性应变和等效应力，并与优化前的数据进行对比。</w:t>
      </w:r>
    </w:p>
    <w:p w14:paraId="51015119">
      <w:pPr>
        <w:pStyle w:val="5"/>
        <w:numPr>
          <w:ilvl w:val="0"/>
          <w:numId w:val="14"/>
        </w:numPr>
        <w:ind w:left="0" w:leftChars="0" w:firstLine="0" w:firstLineChars="0"/>
        <w:rPr>
          <w:b w:val="0"/>
          <w:bdr w:val="none" w:sz="0" w:space="0"/>
        </w:rPr>
      </w:pPr>
      <w:bookmarkStart w:id="76" w:name="_Toc12217"/>
      <w:bookmarkStart w:id="77" w:name="总变形对比"/>
      <w:r>
        <w:t>总变形对比</w:t>
      </w:r>
      <w:bookmarkEnd w:id="76"/>
    </w:p>
    <w:p w14:paraId="33D8596F">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优化后制动盘的最大总变形量为 </w:t>
      </w:r>
      <m:oMath>
        <m:r>
          <w:rPr>
            <w:rFonts w:ascii="Times New Roman" w:hAnsi="Times New Roman" w:eastAsia="宋体" w:cs="Times New Roman"/>
            <w:sz w:val="24"/>
            <w:szCs w:val="24"/>
          </w:rPr>
          <m:t>8.753</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7</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t>
        </m:r>
      </m:oMath>
      <w:r>
        <w:rPr>
          <w:rFonts w:ascii="Times New Roman" w:hAnsi="Times New Roman" w:eastAsia="宋体" w:cs="Times New Roman"/>
          <w:sz w:val="24"/>
          <w:szCs w:val="24"/>
        </w:rPr>
        <w:t xml:space="preserve">（约 0.88 μm），相比于优化前的 </w:t>
      </w:r>
      <m:oMath>
        <m:r>
          <w:rPr>
            <w:rFonts w:ascii="Times New Roman" w:hAnsi="Times New Roman" w:eastAsia="宋体" w:cs="Times New Roman"/>
            <w:sz w:val="24"/>
            <w:szCs w:val="24"/>
          </w:rPr>
          <m:t>7.0874</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6</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t>
        </m:r>
      </m:oMath>
      <w:r>
        <w:rPr>
          <w:rFonts w:ascii="Times New Roman" w:hAnsi="Times New Roman" w:eastAsia="宋体" w:cs="Times New Roman"/>
          <w:sz w:val="24"/>
          <w:szCs w:val="24"/>
        </w:rPr>
        <w:t>（约 7.09 μm），变形量不仅没有增加，反而大幅降低了约 87.6%。这说明虽然去除了部分材料，但通过合理的结构布局，制动盘的整体刚度得到了显著提升。优化后的总变形云图如图5-6和图5-7所示。</w:t>
      </w:r>
    </w:p>
    <w:p w14:paraId="5B3EB8E0">
      <w:pPr>
        <w:pStyle w:val="40"/>
      </w:pPr>
      <w:r>
        <w:drawing>
          <wp:inline distT="0" distB="0" distL="114300" distR="114300">
            <wp:extent cx="5334000" cy="2777490"/>
            <wp:effectExtent l="0" t="0" r="0" b="0"/>
            <wp:docPr id="144" name="Picture" descr="图5-6 优化后制动盘总变形云图（正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descr="图5-6 优化后制动盘总变形云图（正面视角）"/>
                    <pic:cNvPicPr>
                      <a:picLocks noChangeAspect="1" noChangeArrowheads="1"/>
                    </pic:cNvPicPr>
                  </pic:nvPicPr>
                  <pic:blipFill>
                    <a:blip r:embed="rId34"/>
                    <a:stretch>
                      <a:fillRect/>
                    </a:stretch>
                  </pic:blipFill>
                  <pic:spPr>
                    <a:xfrm>
                      <a:off x="0" y="0"/>
                      <a:ext cx="5334000" cy="2777897"/>
                    </a:xfrm>
                    <a:prstGeom prst="rect">
                      <a:avLst/>
                    </a:prstGeom>
                    <a:noFill/>
                    <a:ln w="9525">
                      <a:noFill/>
                    </a:ln>
                  </pic:spPr>
                </pic:pic>
              </a:graphicData>
            </a:graphic>
          </wp:inline>
        </w:drawing>
      </w:r>
    </w:p>
    <w:p w14:paraId="35F76E0D">
      <w:pPr>
        <w:pStyle w:val="78"/>
        <w:widowControl/>
      </w:pPr>
      <w:r>
        <w:t>图5-6 优化后制动盘总变形云图（正面视角）</w:t>
      </w:r>
    </w:p>
    <w:p w14:paraId="5AC118DB">
      <w:pPr>
        <w:pStyle w:val="40"/>
      </w:pPr>
      <w:r>
        <w:drawing>
          <wp:inline distT="0" distB="0" distL="114300" distR="114300">
            <wp:extent cx="5334000" cy="2826385"/>
            <wp:effectExtent l="0" t="0" r="0" b="0"/>
            <wp:docPr id="147" name="Picture" descr="图5-7 优化后制动盘总变形云图（侧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descr="图5-7 优化后制动盘总变形云图（侧面视角）"/>
                    <pic:cNvPicPr>
                      <a:picLocks noChangeAspect="1" noChangeArrowheads="1"/>
                    </pic:cNvPicPr>
                  </pic:nvPicPr>
                  <pic:blipFill>
                    <a:blip r:embed="rId35"/>
                    <a:stretch>
                      <a:fillRect/>
                    </a:stretch>
                  </pic:blipFill>
                  <pic:spPr>
                    <a:xfrm>
                      <a:off x="0" y="0"/>
                      <a:ext cx="5334000" cy="2826564"/>
                    </a:xfrm>
                    <a:prstGeom prst="rect">
                      <a:avLst/>
                    </a:prstGeom>
                    <a:noFill/>
                    <a:ln w="9525">
                      <a:noFill/>
                    </a:ln>
                  </pic:spPr>
                </pic:pic>
              </a:graphicData>
            </a:graphic>
          </wp:inline>
        </w:drawing>
      </w:r>
    </w:p>
    <w:p w14:paraId="0B3FF3A6">
      <w:pPr>
        <w:pStyle w:val="78"/>
        <w:widowControl/>
      </w:pPr>
      <w:r>
        <w:t>图5-7 优化后制动盘总变形云图（侧面视角）</w:t>
      </w:r>
    </w:p>
    <w:bookmarkEnd w:id="77"/>
    <w:p w14:paraId="65194A34">
      <w:pPr>
        <w:pStyle w:val="5"/>
        <w:numPr>
          <w:ilvl w:val="0"/>
          <w:numId w:val="14"/>
        </w:numPr>
        <w:ind w:left="0" w:leftChars="0" w:firstLine="0" w:firstLineChars="0"/>
        <w:rPr>
          <w:b w:val="0"/>
          <w:bdr w:val="none" w:sz="0" w:space="0"/>
        </w:rPr>
      </w:pPr>
      <w:bookmarkStart w:id="78" w:name="_Toc12922"/>
      <w:bookmarkStart w:id="79" w:name="等效弹性应变对比"/>
      <w:r>
        <w:t>等效弹性应变对比</w:t>
      </w:r>
      <w:bookmarkEnd w:id="78"/>
    </w:p>
    <w:p w14:paraId="6D138C57">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优化后的最大等效弹性应变为 </w:t>
      </w:r>
      <m:oMath>
        <m:r>
          <w:rPr>
            <w:rFonts w:ascii="Times New Roman" w:hAnsi="Times New Roman" w:eastAsia="宋体" w:cs="Times New Roman"/>
            <w:sz w:val="24"/>
            <w:szCs w:val="24"/>
          </w:rPr>
          <m:t>4.3236</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6</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 xml:space="preserve">，比优化前的 </w:t>
      </w:r>
      <m:oMath>
        <m:r>
          <w:rPr>
            <w:rFonts w:ascii="Times New Roman" w:hAnsi="Times New Roman" w:eastAsia="宋体" w:cs="Times New Roman"/>
            <w:sz w:val="24"/>
            <w:szCs w:val="24"/>
          </w:rPr>
          <m:t>2.7061</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m:rPr>
                <m:sty m:val="p"/>
              </m:rPr>
              <w:rPr>
                <w:rFonts w:ascii="Times New Roman" w:hAnsi="Times New Roman" w:eastAsia="宋体" w:cs="Times New Roman"/>
                <w:sz w:val="24"/>
                <w:szCs w:val="24"/>
              </w:rPr>
              <m:t>−</m:t>
            </m:r>
            <m:r>
              <w:rPr>
                <w:rFonts w:ascii="Times New Roman" w:hAnsi="Times New Roman" w:eastAsia="宋体" w:cs="Times New Roman"/>
                <w:sz w:val="24"/>
                <w:szCs w:val="24"/>
              </w:rPr>
              <m:t>5</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m/m</m:t>
        </m:r>
      </m:oMath>
      <w:r>
        <w:rPr>
          <w:rFonts w:ascii="Times New Roman" w:hAnsi="Times New Roman" w:eastAsia="宋体" w:cs="Times New Roman"/>
          <w:sz w:val="24"/>
          <w:szCs w:val="24"/>
        </w:rPr>
        <w:t xml:space="preserve"> 降低了约 84.0%。应变分布更加均匀，通风孔的引入并未造成严重的应变集中。优化后的等效弹性应变云图如图5-8和图5-9所示。</w:t>
      </w:r>
    </w:p>
    <w:p w14:paraId="6303D80F">
      <w:pPr>
        <w:pStyle w:val="40"/>
      </w:pPr>
      <w:r>
        <w:drawing>
          <wp:inline distT="0" distB="0" distL="114300" distR="114300">
            <wp:extent cx="5334000" cy="2714625"/>
            <wp:effectExtent l="0" t="0" r="0" b="0"/>
            <wp:docPr id="151" name="Picture" descr="图5-8 优化后制动盘等效弹性应变云图（正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descr="图5-8 优化后制动盘等效弹性应变云图（正面视角）"/>
                    <pic:cNvPicPr>
                      <a:picLocks noChangeAspect="1" noChangeArrowheads="1"/>
                    </pic:cNvPicPr>
                  </pic:nvPicPr>
                  <pic:blipFill>
                    <a:blip r:embed="rId36"/>
                    <a:stretch>
                      <a:fillRect/>
                    </a:stretch>
                  </pic:blipFill>
                  <pic:spPr>
                    <a:xfrm>
                      <a:off x="0" y="0"/>
                      <a:ext cx="5334000" cy="2715102"/>
                    </a:xfrm>
                    <a:prstGeom prst="rect">
                      <a:avLst/>
                    </a:prstGeom>
                    <a:noFill/>
                    <a:ln w="9525">
                      <a:noFill/>
                    </a:ln>
                  </pic:spPr>
                </pic:pic>
              </a:graphicData>
            </a:graphic>
          </wp:inline>
        </w:drawing>
      </w:r>
    </w:p>
    <w:p w14:paraId="4CC0B5B9">
      <w:pPr>
        <w:pStyle w:val="78"/>
        <w:widowControl/>
      </w:pPr>
      <w:r>
        <w:t>图5-8 优化后制动盘等效弹性应变云图（正面视角）</w:t>
      </w:r>
    </w:p>
    <w:p w14:paraId="27AD28AE">
      <w:pPr>
        <w:pStyle w:val="40"/>
      </w:pPr>
      <w:r>
        <w:drawing>
          <wp:inline distT="0" distB="0" distL="114300" distR="114300">
            <wp:extent cx="5334000" cy="2830830"/>
            <wp:effectExtent l="0" t="0" r="0" b="0"/>
            <wp:docPr id="154" name="Picture" descr="图5-9 优化后制动盘等效弹性应变云图（侧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descr="图5-9 优化后制动盘等效弹性应变云图（侧面视角）"/>
                    <pic:cNvPicPr>
                      <a:picLocks noChangeAspect="1" noChangeArrowheads="1"/>
                    </pic:cNvPicPr>
                  </pic:nvPicPr>
                  <pic:blipFill>
                    <a:blip r:embed="rId37"/>
                    <a:stretch>
                      <a:fillRect/>
                    </a:stretch>
                  </pic:blipFill>
                  <pic:spPr>
                    <a:xfrm>
                      <a:off x="0" y="0"/>
                      <a:ext cx="5334000" cy="2831210"/>
                    </a:xfrm>
                    <a:prstGeom prst="rect">
                      <a:avLst/>
                    </a:prstGeom>
                    <a:noFill/>
                    <a:ln w="9525">
                      <a:noFill/>
                    </a:ln>
                  </pic:spPr>
                </pic:pic>
              </a:graphicData>
            </a:graphic>
          </wp:inline>
        </w:drawing>
      </w:r>
    </w:p>
    <w:p w14:paraId="743425B0">
      <w:pPr>
        <w:pStyle w:val="78"/>
        <w:widowControl/>
      </w:pPr>
      <w:r>
        <w:t>图5-9 优化后制动盘等效弹性应变云图（侧面视角）</w:t>
      </w:r>
    </w:p>
    <w:bookmarkEnd w:id="79"/>
    <w:p w14:paraId="33B9B956">
      <w:pPr>
        <w:pStyle w:val="5"/>
        <w:numPr>
          <w:ilvl w:val="0"/>
          <w:numId w:val="14"/>
        </w:numPr>
        <w:ind w:left="0" w:leftChars="0" w:firstLine="0" w:firstLineChars="0"/>
        <w:rPr>
          <w:b w:val="0"/>
          <w:bdr w:val="none" w:sz="0" w:space="0"/>
        </w:rPr>
      </w:pPr>
      <w:bookmarkStart w:id="80" w:name="_Toc15081"/>
      <w:bookmarkStart w:id="81" w:name="等效von-mises应力对比"/>
      <w:r>
        <w:t>等效Von-Mises应力对比</w:t>
      </w:r>
      <w:bookmarkEnd w:id="80"/>
    </w:p>
    <w:p w14:paraId="27AB4B26">
      <w:pPr>
        <w:pStyle w:val="3"/>
        <w:rPr>
          <w:rFonts w:ascii="Times New Roman" w:hAnsi="Times New Roman" w:eastAsia="宋体" w:cs="Times New Roman"/>
          <w:sz w:val="24"/>
          <w:szCs w:val="24"/>
        </w:rPr>
      </w:pPr>
      <w:r>
        <w:rPr>
          <w:rFonts w:ascii="Times New Roman" w:hAnsi="Times New Roman" w:eastAsia="宋体" w:cs="Times New Roman"/>
          <w:sz w:val="24"/>
          <w:szCs w:val="24"/>
        </w:rPr>
        <w:t xml:space="preserve">优化后制动盘的最大等效应力为 </w:t>
      </w:r>
      <m:oMath>
        <m:r>
          <w:rPr>
            <w:rFonts w:ascii="Times New Roman" w:hAnsi="Times New Roman" w:eastAsia="宋体" w:cs="Times New Roman"/>
            <w:sz w:val="24"/>
            <w:szCs w:val="24"/>
          </w:rPr>
          <m:t>8.3844</m:t>
        </m:r>
        <m:r>
          <m:rPr>
            <m:sty m:val="p"/>
          </m:rPr>
          <w:rPr>
            <w:rFonts w:ascii="Times New Roman" w:hAnsi="Times New Roman" w:eastAsia="宋体" w:cs="Times New Roman"/>
            <w:sz w:val="24"/>
            <w:szCs w:val="24"/>
          </w:rPr>
          <m:t>×</m:t>
        </m:r>
        <m:sSup>
          <m:sSupPr>
            <m:ctrlPr>
              <w:rPr>
                <w:rFonts w:ascii="Cambria Math" w:hAnsi="Cambria Math" w:eastAsia="宋体" w:cs="Times New Roman"/>
                <w:sz w:val="24"/>
                <w:szCs w:val="24"/>
              </w:rPr>
            </m:ctrlPr>
          </m:sSupPr>
          <m:e>
            <m:r>
              <w:rPr>
                <w:rFonts w:ascii="Times New Roman" w:hAnsi="Times New Roman" w:eastAsia="宋体" w:cs="Times New Roman"/>
                <w:sz w:val="24"/>
                <w:szCs w:val="24"/>
              </w:rPr>
              <m:t>10</m:t>
            </m:r>
            <m:ctrlPr>
              <w:rPr>
                <w:rFonts w:ascii="Cambria Math" w:hAnsi="Cambria Math" w:eastAsia="宋体" w:cs="Times New Roman"/>
                <w:sz w:val="24"/>
                <w:szCs w:val="24"/>
              </w:rPr>
            </m:ctrlPr>
          </m:e>
          <m:sup>
            <m:r>
              <w:rPr>
                <w:rFonts w:ascii="Times New Roman" w:hAnsi="Times New Roman" w:eastAsia="宋体" w:cs="Times New Roman"/>
                <w:sz w:val="24"/>
                <w:szCs w:val="24"/>
              </w:rPr>
              <m:t>5</m:t>
            </m:r>
            <m:ctrlPr>
              <w:rPr>
                <w:rFonts w:ascii="Cambria Math" w:hAnsi="Cambria Math" w:eastAsia="宋体" w:cs="Times New Roman"/>
                <w:sz w:val="24"/>
                <w:szCs w:val="24"/>
              </w:rPr>
            </m:ctrlPr>
          </m:sup>
        </m:sSup>
        <m:r>
          <w:rPr>
            <w:rFonts w:ascii="Times New Roman" w:hAnsi="Times New Roman" w:eastAsia="宋体" w:cs="Times New Roman"/>
            <w:sz w:val="24"/>
            <w:szCs w:val="24"/>
          </w:rPr>
          <m:t> </m:t>
        </m:r>
        <m:r>
          <m:rPr>
            <m:nor/>
            <m:sty m:val="p"/>
          </m:rPr>
          <w:rPr>
            <w:rFonts w:ascii="Times New Roman" w:hAnsi="Times New Roman" w:eastAsia="宋体" w:cs="Times New Roman"/>
            <w:b w:val="0"/>
            <w:i w:val="0"/>
            <w:sz w:val="24"/>
            <w:szCs w:val="24"/>
          </w:rPr>
          <m:t>Pa</m:t>
        </m:r>
      </m:oMath>
      <w:r>
        <w:rPr>
          <w:rFonts w:ascii="Times New Roman" w:hAnsi="Times New Roman" w:eastAsia="宋体" w:cs="Times New Roman"/>
          <w:sz w:val="24"/>
          <w:szCs w:val="24"/>
        </w:rPr>
        <w:t>（约 0.84 MPa），最小应力为 6266.8 Pa。而优化前最大应力为 3.86 MPa。应力峰值下降了约 78.3%，且应力分布更加均匀，孔口处的应力集中得到了有效缓解。最大应力依然远低于 HT250 的屈服强度 250 MPa，安全系数高达 298 倍，结构安全可靠。优化后的等效应力云图如图5-10和图5-11所示。</w:t>
      </w:r>
    </w:p>
    <w:p w14:paraId="12CD2FAD">
      <w:pPr>
        <w:pStyle w:val="40"/>
      </w:pPr>
      <w:r>
        <w:drawing>
          <wp:inline distT="0" distB="0" distL="114300" distR="114300">
            <wp:extent cx="5334000" cy="2687955"/>
            <wp:effectExtent l="0" t="0" r="0" b="0"/>
            <wp:docPr id="158" name="Picture" descr="图5-10 优化后制动盘等效Von-Mises应力云图（正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descr="图5-10 优化后制动盘等效Von-Mises应力云图（正面视角）"/>
                    <pic:cNvPicPr>
                      <a:picLocks noChangeAspect="1" noChangeArrowheads="1"/>
                    </pic:cNvPicPr>
                  </pic:nvPicPr>
                  <pic:blipFill>
                    <a:blip r:embed="rId38"/>
                    <a:stretch>
                      <a:fillRect/>
                    </a:stretch>
                  </pic:blipFill>
                  <pic:spPr>
                    <a:xfrm>
                      <a:off x="0" y="0"/>
                      <a:ext cx="5334000" cy="2688336"/>
                    </a:xfrm>
                    <a:prstGeom prst="rect">
                      <a:avLst/>
                    </a:prstGeom>
                    <a:noFill/>
                    <a:ln w="9525">
                      <a:noFill/>
                    </a:ln>
                  </pic:spPr>
                </pic:pic>
              </a:graphicData>
            </a:graphic>
          </wp:inline>
        </w:drawing>
      </w:r>
    </w:p>
    <w:p w14:paraId="378AF4C7">
      <w:pPr>
        <w:pStyle w:val="78"/>
        <w:widowControl/>
      </w:pPr>
      <w:r>
        <w:t>图5-10 优化后制动盘等效Von-Mises应力云图（正面视角）</w:t>
      </w:r>
    </w:p>
    <w:p w14:paraId="4C91F2C9">
      <w:pPr>
        <w:pStyle w:val="40"/>
      </w:pPr>
      <w:r>
        <w:drawing>
          <wp:inline distT="0" distB="0" distL="114300" distR="114300">
            <wp:extent cx="5334000" cy="2623820"/>
            <wp:effectExtent l="0" t="0" r="0" b="0"/>
            <wp:docPr id="161" name="Picture" descr="图5-11 优化后制动盘等效Von-Mises应力云图（侧面视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descr="图5-11 优化后制动盘等效Von-Mises应力云图（侧面视角）"/>
                    <pic:cNvPicPr>
                      <a:picLocks noChangeAspect="1" noChangeArrowheads="1"/>
                    </pic:cNvPicPr>
                  </pic:nvPicPr>
                  <pic:blipFill>
                    <a:blip r:embed="rId39"/>
                    <a:stretch>
                      <a:fillRect/>
                    </a:stretch>
                  </pic:blipFill>
                  <pic:spPr>
                    <a:xfrm>
                      <a:off x="0" y="0"/>
                      <a:ext cx="5334000" cy="2624328"/>
                    </a:xfrm>
                    <a:prstGeom prst="rect">
                      <a:avLst/>
                    </a:prstGeom>
                    <a:noFill/>
                    <a:ln w="9525">
                      <a:noFill/>
                    </a:ln>
                  </pic:spPr>
                </pic:pic>
              </a:graphicData>
            </a:graphic>
          </wp:inline>
        </w:drawing>
      </w:r>
    </w:p>
    <w:p w14:paraId="3DDC4BAE">
      <w:pPr>
        <w:pStyle w:val="78"/>
        <w:widowControl/>
      </w:pPr>
      <w:r>
        <w:t>图5-11 优化后制动盘等效Von-Mises应力云图（侧面视角）</w:t>
      </w:r>
    </w:p>
    <w:bookmarkEnd w:id="81"/>
    <w:p w14:paraId="7254AB05">
      <w:pPr>
        <w:pStyle w:val="5"/>
        <w:numPr>
          <w:ilvl w:val="0"/>
          <w:numId w:val="14"/>
        </w:numPr>
        <w:ind w:left="0" w:leftChars="0" w:firstLine="0" w:firstLineChars="0"/>
        <w:rPr>
          <w:b w:val="0"/>
          <w:bdr w:val="none" w:sz="0" w:space="0"/>
        </w:rPr>
      </w:pPr>
      <w:bookmarkStart w:id="82" w:name="_Toc30906"/>
      <w:bookmarkStart w:id="83" w:name="性能对比总结"/>
      <w:r>
        <w:t>性能对比总结</w:t>
      </w:r>
      <w:bookmarkEnd w:id="82"/>
    </w:p>
    <w:p w14:paraId="3A8F691D">
      <w:pPr>
        <w:pStyle w:val="3"/>
        <w:rPr>
          <w:rFonts w:ascii="Times New Roman" w:hAnsi="Times New Roman" w:eastAsia="宋体" w:cs="Times New Roman"/>
          <w:sz w:val="24"/>
          <w:szCs w:val="24"/>
        </w:rPr>
      </w:pPr>
      <w:r>
        <w:rPr>
          <w:rFonts w:ascii="Times New Roman" w:hAnsi="Times New Roman" w:eastAsia="宋体" w:cs="Times New Roman"/>
          <w:sz w:val="24"/>
          <w:szCs w:val="24"/>
        </w:rPr>
        <w:t>将优化前后的各项关键性能指标进行汇总对比，结果如下表所示：</w:t>
      </w:r>
    </w:p>
    <w:tbl>
      <w:tblPr>
        <w:tblStyle w:val="34"/>
        <w:tblW w:w="4998" w:type="pct"/>
        <w:tblInd w:w="0" w:type="dxa"/>
        <w:tblLayout w:type="autofit"/>
        <w:tblCellMar>
          <w:top w:w="0" w:type="dxa"/>
          <w:left w:w="108" w:type="dxa"/>
          <w:bottom w:w="0" w:type="dxa"/>
          <w:right w:w="108" w:type="dxa"/>
        </w:tblCellMar>
      </w:tblPr>
      <w:tblGrid>
        <w:gridCol w:w="1864"/>
        <w:gridCol w:w="2329"/>
        <w:gridCol w:w="2329"/>
        <w:gridCol w:w="2330"/>
      </w:tblGrid>
      <w:tr w14:paraId="79EFF3B4">
        <w:tblPrEx>
          <w:tblCellMar>
            <w:top w:w="0" w:type="dxa"/>
            <w:left w:w="108" w:type="dxa"/>
            <w:bottom w:w="0" w:type="dxa"/>
            <w:right w:w="108" w:type="dxa"/>
          </w:tblCellMar>
        </w:tblPrEx>
        <w:trPr>
          <w:tblHeader/>
        </w:trPr>
        <w:tc>
          <w:tcPr>
            <w:tcW w:w="1052" w:type="pct"/>
          </w:tcPr>
          <w:p w14:paraId="0A00F395">
            <w:pPr>
              <w:pStyle w:val="28"/>
              <w:jc w:val="left"/>
            </w:pPr>
            <w:r>
              <w:t>性能指标</w:t>
            </w:r>
          </w:p>
        </w:tc>
        <w:tc>
          <w:tcPr>
            <w:tcW w:w="1315" w:type="pct"/>
          </w:tcPr>
          <w:p w14:paraId="1DFD6BAA">
            <w:pPr>
              <w:pStyle w:val="28"/>
              <w:jc w:val="center"/>
            </w:pPr>
            <w:r>
              <w:t>优化前实心制动盘</w:t>
            </w:r>
          </w:p>
        </w:tc>
        <w:tc>
          <w:tcPr>
            <w:tcW w:w="1315" w:type="pct"/>
          </w:tcPr>
          <w:p w14:paraId="11270F54">
            <w:pPr>
              <w:pStyle w:val="28"/>
              <w:jc w:val="center"/>
            </w:pPr>
            <w:r>
              <w:t>优化后打孔制动盘</w:t>
            </w:r>
          </w:p>
        </w:tc>
        <w:tc>
          <w:tcPr>
            <w:tcW w:w="1315" w:type="pct"/>
          </w:tcPr>
          <w:p w14:paraId="6E1C2BBD">
            <w:pPr>
              <w:pStyle w:val="28"/>
              <w:jc w:val="center"/>
            </w:pPr>
            <w:r>
              <w:t>变化幅度</w:t>
            </w:r>
          </w:p>
        </w:tc>
      </w:tr>
      <w:tr w14:paraId="6C7E6443">
        <w:tblPrEx>
          <w:tblCellMar>
            <w:top w:w="0" w:type="dxa"/>
            <w:left w:w="108" w:type="dxa"/>
            <w:bottom w:w="0" w:type="dxa"/>
            <w:right w:w="108" w:type="dxa"/>
          </w:tblCellMar>
        </w:tblPrEx>
        <w:tc>
          <w:tcPr>
            <w:tcW w:w="1052" w:type="pct"/>
          </w:tcPr>
          <w:p w14:paraId="7313789C">
            <w:pPr>
              <w:pStyle w:val="28"/>
              <w:jc w:val="left"/>
            </w:pPr>
            <w:r>
              <w:t>最大总变形 (m)</w:t>
            </w:r>
          </w:p>
        </w:tc>
        <w:tc>
          <w:tcPr>
            <w:tcW w:w="1315" w:type="pct"/>
          </w:tcPr>
          <w:p w14:paraId="07DB40F6">
            <w:pPr>
              <w:pStyle w:val="28"/>
              <w:jc w:val="center"/>
            </w:pPr>
            <m:oMathPara>
              <m:oMath>
                <m:r>
                  <m:rPr/>
                  <m:t>7.0874</m:t>
                </m:r>
                <m:r>
                  <m:rPr>
                    <m:sty m:val="p"/>
                  </m:rPr>
                  <m:t>×</m:t>
                </m:r>
                <m:sSup>
                  <m:sSupPr/>
                  <m:e>
                    <m:r>
                      <m:rPr/>
                      <m:t>10</m:t>
                    </m:r>
                  </m:e>
                  <m:sup>
                    <m:r>
                      <m:rPr>
                        <m:sty m:val="p"/>
                      </m:rPr>
                      <m:t>−</m:t>
                    </m:r>
                    <m:r>
                      <m:rPr/>
                      <m:t>6</m:t>
                    </m:r>
                  </m:sup>
                </m:sSup>
              </m:oMath>
            </m:oMathPara>
          </w:p>
        </w:tc>
        <w:tc>
          <w:tcPr>
            <w:tcW w:w="1315" w:type="pct"/>
          </w:tcPr>
          <w:p w14:paraId="099BFA14">
            <w:pPr>
              <w:pStyle w:val="28"/>
              <w:jc w:val="center"/>
            </w:pPr>
            <m:oMathPara>
              <m:oMath>
                <m:r>
                  <m:rPr/>
                  <m:t>8.753</m:t>
                </m:r>
                <m:r>
                  <m:rPr>
                    <m:sty m:val="p"/>
                  </m:rPr>
                  <m:t>×</m:t>
                </m:r>
                <m:sSup>
                  <m:sSupPr/>
                  <m:e>
                    <m:r>
                      <m:rPr/>
                      <m:t>10</m:t>
                    </m:r>
                  </m:e>
                  <m:sup>
                    <m:r>
                      <m:rPr>
                        <m:sty m:val="p"/>
                      </m:rPr>
                      <m:t>−</m:t>
                    </m:r>
                    <m:r>
                      <m:rPr/>
                      <m:t>7</m:t>
                    </m:r>
                  </m:sup>
                </m:sSup>
              </m:oMath>
            </m:oMathPara>
          </w:p>
        </w:tc>
        <w:tc>
          <w:tcPr>
            <w:tcW w:w="1315" w:type="pct"/>
          </w:tcPr>
          <w:p w14:paraId="3761D802">
            <w:pPr>
              <w:pStyle w:val="28"/>
              <w:jc w:val="center"/>
            </w:pPr>
            <w:r>
              <w:t>降低 87.6%</w:t>
            </w:r>
          </w:p>
        </w:tc>
      </w:tr>
      <w:tr w14:paraId="45A8A861">
        <w:tblPrEx>
          <w:tblCellMar>
            <w:top w:w="0" w:type="dxa"/>
            <w:left w:w="108" w:type="dxa"/>
            <w:bottom w:w="0" w:type="dxa"/>
            <w:right w:w="108" w:type="dxa"/>
          </w:tblCellMar>
        </w:tblPrEx>
        <w:tc>
          <w:tcPr>
            <w:tcW w:w="1052" w:type="pct"/>
          </w:tcPr>
          <w:p w14:paraId="6974FE2C">
            <w:pPr>
              <w:pStyle w:val="28"/>
              <w:jc w:val="left"/>
            </w:pPr>
            <w:r>
              <w:t>最大等效弹性应变 (m/m)</w:t>
            </w:r>
          </w:p>
        </w:tc>
        <w:tc>
          <w:tcPr>
            <w:tcW w:w="1315" w:type="pct"/>
          </w:tcPr>
          <w:p w14:paraId="403CCB66">
            <w:pPr>
              <w:pStyle w:val="28"/>
              <w:jc w:val="center"/>
            </w:pPr>
            <m:oMathPara>
              <m:oMath>
                <m:r>
                  <m:rPr/>
                  <m:t>2.7061</m:t>
                </m:r>
                <m:r>
                  <m:rPr>
                    <m:sty m:val="p"/>
                  </m:rPr>
                  <m:t>×</m:t>
                </m:r>
                <m:sSup>
                  <m:sSupPr/>
                  <m:e>
                    <m:r>
                      <m:rPr/>
                      <m:t>10</m:t>
                    </m:r>
                  </m:e>
                  <m:sup>
                    <m:r>
                      <m:rPr>
                        <m:sty m:val="p"/>
                      </m:rPr>
                      <m:t>−</m:t>
                    </m:r>
                    <m:r>
                      <m:rPr/>
                      <m:t>5</m:t>
                    </m:r>
                  </m:sup>
                </m:sSup>
              </m:oMath>
            </m:oMathPara>
          </w:p>
        </w:tc>
        <w:tc>
          <w:tcPr>
            <w:tcW w:w="1315" w:type="pct"/>
          </w:tcPr>
          <w:p w14:paraId="6F3071A5">
            <w:pPr>
              <w:pStyle w:val="28"/>
              <w:jc w:val="center"/>
            </w:pPr>
            <m:oMathPara>
              <m:oMath>
                <m:r>
                  <m:rPr/>
                  <m:t>4.3236</m:t>
                </m:r>
                <m:r>
                  <m:rPr>
                    <m:sty m:val="p"/>
                  </m:rPr>
                  <m:t>×</m:t>
                </m:r>
                <m:sSup>
                  <m:sSupPr/>
                  <m:e>
                    <m:r>
                      <m:rPr/>
                      <m:t>10</m:t>
                    </m:r>
                  </m:e>
                  <m:sup>
                    <m:r>
                      <m:rPr>
                        <m:sty m:val="p"/>
                      </m:rPr>
                      <m:t>−</m:t>
                    </m:r>
                    <m:r>
                      <m:rPr/>
                      <m:t>6</m:t>
                    </m:r>
                  </m:sup>
                </m:sSup>
              </m:oMath>
            </m:oMathPara>
          </w:p>
        </w:tc>
        <w:tc>
          <w:tcPr>
            <w:tcW w:w="1315" w:type="pct"/>
          </w:tcPr>
          <w:p w14:paraId="48060112">
            <w:pPr>
              <w:pStyle w:val="28"/>
              <w:jc w:val="center"/>
            </w:pPr>
            <w:r>
              <w:t>降低 84.0%</w:t>
            </w:r>
          </w:p>
        </w:tc>
      </w:tr>
      <w:tr w14:paraId="34540CA5">
        <w:tblPrEx>
          <w:tblCellMar>
            <w:top w:w="0" w:type="dxa"/>
            <w:left w:w="108" w:type="dxa"/>
            <w:bottom w:w="0" w:type="dxa"/>
            <w:right w:w="108" w:type="dxa"/>
          </w:tblCellMar>
        </w:tblPrEx>
        <w:tc>
          <w:tcPr>
            <w:tcW w:w="1052" w:type="pct"/>
          </w:tcPr>
          <w:p w14:paraId="1F5D0C71">
            <w:pPr>
              <w:pStyle w:val="28"/>
              <w:jc w:val="left"/>
            </w:pPr>
            <w:r>
              <w:t>最大等效应力 (MPa)</w:t>
            </w:r>
          </w:p>
        </w:tc>
        <w:tc>
          <w:tcPr>
            <w:tcW w:w="1315" w:type="pct"/>
          </w:tcPr>
          <w:p w14:paraId="7516F1CE">
            <w:pPr>
              <w:pStyle w:val="28"/>
              <w:jc w:val="center"/>
            </w:pPr>
            <w:r>
              <w:t>3.86</w:t>
            </w:r>
          </w:p>
        </w:tc>
        <w:tc>
          <w:tcPr>
            <w:tcW w:w="1315" w:type="pct"/>
          </w:tcPr>
          <w:p w14:paraId="25AA75E0">
            <w:pPr>
              <w:pStyle w:val="28"/>
              <w:jc w:val="center"/>
            </w:pPr>
            <w:r>
              <w:t>0.84</w:t>
            </w:r>
          </w:p>
        </w:tc>
        <w:tc>
          <w:tcPr>
            <w:tcW w:w="1315" w:type="pct"/>
          </w:tcPr>
          <w:p w14:paraId="6DA2C297">
            <w:pPr>
              <w:pStyle w:val="28"/>
              <w:jc w:val="center"/>
            </w:pPr>
            <w:r>
              <w:t>降低 78.3%</w:t>
            </w:r>
          </w:p>
        </w:tc>
      </w:tr>
      <w:tr w14:paraId="73055237">
        <w:tblPrEx>
          <w:tblCellMar>
            <w:top w:w="0" w:type="dxa"/>
            <w:left w:w="108" w:type="dxa"/>
            <w:bottom w:w="0" w:type="dxa"/>
            <w:right w:w="108" w:type="dxa"/>
          </w:tblCellMar>
        </w:tblPrEx>
        <w:tc>
          <w:tcPr>
            <w:tcW w:w="1052" w:type="pct"/>
          </w:tcPr>
          <w:p w14:paraId="0D3B111B">
            <w:pPr>
              <w:pStyle w:val="28"/>
              <w:jc w:val="left"/>
            </w:pPr>
            <w:r>
              <w:t>最小等效应力 (Pa)</w:t>
            </w:r>
          </w:p>
        </w:tc>
        <w:tc>
          <w:tcPr>
            <w:tcW w:w="1315" w:type="pct"/>
          </w:tcPr>
          <w:p w14:paraId="2C4F66C6">
            <w:pPr>
              <w:pStyle w:val="28"/>
              <w:jc w:val="center"/>
            </w:pPr>
            <w:r>
              <w:t>38586</w:t>
            </w:r>
          </w:p>
        </w:tc>
        <w:tc>
          <w:tcPr>
            <w:tcW w:w="1315" w:type="pct"/>
          </w:tcPr>
          <w:p w14:paraId="04A80D3F">
            <w:pPr>
              <w:pStyle w:val="28"/>
              <w:jc w:val="center"/>
            </w:pPr>
            <w:r>
              <w:t>6266.8</w:t>
            </w:r>
          </w:p>
        </w:tc>
        <w:tc>
          <w:tcPr>
            <w:tcW w:w="1315" w:type="pct"/>
          </w:tcPr>
          <w:p w14:paraId="5BD9CB69">
            <w:pPr>
              <w:pStyle w:val="28"/>
              <w:jc w:val="center"/>
            </w:pPr>
            <w:r>
              <w:t>-</w:t>
            </w:r>
          </w:p>
        </w:tc>
      </w:tr>
      <w:tr w14:paraId="71F8C7B1">
        <w:tblPrEx>
          <w:tblCellMar>
            <w:top w:w="0" w:type="dxa"/>
            <w:left w:w="108" w:type="dxa"/>
            <w:bottom w:w="0" w:type="dxa"/>
            <w:right w:w="108" w:type="dxa"/>
          </w:tblCellMar>
        </w:tblPrEx>
        <w:tc>
          <w:tcPr>
            <w:tcW w:w="1052" w:type="pct"/>
          </w:tcPr>
          <w:p w14:paraId="7F10B8B5">
            <w:pPr>
              <w:pStyle w:val="28"/>
              <w:jc w:val="left"/>
            </w:pPr>
            <w:r>
              <w:t>安全系数</w:t>
            </w:r>
          </w:p>
        </w:tc>
        <w:tc>
          <w:tcPr>
            <w:tcW w:w="1315" w:type="pct"/>
          </w:tcPr>
          <w:p w14:paraId="161160F9">
            <w:pPr>
              <w:pStyle w:val="28"/>
              <w:jc w:val="center"/>
            </w:pPr>
            <w:r>
              <w:t>64.8</w:t>
            </w:r>
          </w:p>
        </w:tc>
        <w:tc>
          <w:tcPr>
            <w:tcW w:w="1315" w:type="pct"/>
          </w:tcPr>
          <w:p w14:paraId="5780E2A9">
            <w:pPr>
              <w:pStyle w:val="28"/>
              <w:jc w:val="center"/>
            </w:pPr>
            <w:r>
              <w:t>298</w:t>
            </w:r>
          </w:p>
        </w:tc>
        <w:tc>
          <w:tcPr>
            <w:tcW w:w="1315" w:type="pct"/>
          </w:tcPr>
          <w:p w14:paraId="380B0E68">
            <w:pPr>
              <w:pStyle w:val="28"/>
              <w:jc w:val="center"/>
            </w:pPr>
            <w:r>
              <w:t>提升 360%</w:t>
            </w:r>
          </w:p>
        </w:tc>
      </w:tr>
    </w:tbl>
    <w:p w14:paraId="2353C1F3">
      <w:pPr>
        <w:pStyle w:val="3"/>
        <w:rPr>
          <w:rFonts w:ascii="Times New Roman" w:hAnsi="Times New Roman" w:eastAsia="宋体" w:cs="Times New Roman"/>
          <w:sz w:val="24"/>
          <w:szCs w:val="24"/>
        </w:rPr>
      </w:pPr>
      <w:r>
        <w:rPr>
          <w:rFonts w:ascii="Times New Roman" w:hAnsi="Times New Roman" w:eastAsia="宋体" w:cs="Times New Roman"/>
          <w:sz w:val="24"/>
          <w:szCs w:val="24"/>
        </w:rPr>
        <w:t>从上表可以清晰地看出，优化后的制动盘在所有关键性能指标上均实现了大幅度的改善。最大变形降低了 87.6%，最大应变降低了 84.0%，最大应力降低了 78.3%，安全系数从 64.8 提升至 298。这些数据有力地证明了基于拓扑优化的打孔设计方案的科学性和有效性。</w:t>
      </w:r>
    </w:p>
    <w:bookmarkEnd w:id="75"/>
    <w:bookmarkEnd w:id="83"/>
    <w:p w14:paraId="55BA3CEB">
      <w:pPr>
        <w:pStyle w:val="4"/>
        <w:numPr>
          <w:ilvl w:val="0"/>
          <w:numId w:val="13"/>
        </w:numPr>
        <w:ind w:left="0" w:leftChars="0" w:firstLine="0" w:firstLineChars="0"/>
      </w:pPr>
      <w:bookmarkStart w:id="84" w:name="_Toc24156"/>
      <w:bookmarkStart w:id="85" w:name="本章小结-3"/>
      <w:r>
        <w:t>本章小结</w:t>
      </w:r>
      <w:bookmarkEnd w:id="84"/>
    </w:p>
    <w:p w14:paraId="2C0D1926">
      <w:pPr>
        <w:pStyle w:val="3"/>
        <w:rPr>
          <w:rFonts w:ascii="Times New Roman" w:hAnsi="Times New Roman" w:eastAsia="宋体" w:cs="Times New Roman"/>
          <w:sz w:val="24"/>
          <w:szCs w:val="24"/>
        </w:rPr>
      </w:pPr>
      <w:r>
        <w:rPr>
          <w:rFonts w:ascii="Times New Roman" w:hAnsi="Times New Roman" w:eastAsia="宋体" w:cs="Times New Roman"/>
          <w:sz w:val="24"/>
          <w:szCs w:val="24"/>
        </w:rPr>
        <w:t>本章将拓扑优化结果转化为具体的工程设计方案，在SolidWorks中为制动盘增加了6个直径10 mm的通风孔，并对新模型进行了ANSYS静力学仿真验证。对比结果表明，优化后的制动盘不仅实现了质量的减轻和散热结构的改善，而且其最大变形、最大应变和最大应力均出现了大幅度的下降（降幅达78%~87%）。这充分证明了本次基于拓扑优化的制动盘结构改进方案是极其成功和有效的，完美达到了轻量化与高性能兼顾的设计目标。</w:t>
      </w:r>
    </w:p>
    <w:bookmarkEnd w:id="69"/>
    <w:bookmarkEnd w:id="85"/>
    <w:p w14:paraId="4F7DCF10">
      <w:pPr>
        <w:pStyle w:val="2"/>
        <w:numPr>
          <w:ilvl w:val="0"/>
          <w:numId w:val="1"/>
        </w:numPr>
        <w:ind w:left="0" w:leftChars="0" w:firstLine="0" w:firstLineChars="0"/>
        <w:rPr>
          <w:b w:val="0"/>
          <w:bdr w:val="none" w:sz="0" w:space="0"/>
        </w:rPr>
      </w:pPr>
      <w:bookmarkStart w:id="86" w:name="_Toc8936"/>
      <w:bookmarkStart w:id="87" w:name="第六章-结论与展望"/>
      <w:r>
        <w:br w:type="page"/>
      </w:r>
      <w:r>
        <w:t>结论与展望</w:t>
      </w:r>
      <w:bookmarkEnd w:id="86"/>
    </w:p>
    <w:p w14:paraId="28EDDBE6">
      <w:pPr>
        <w:pStyle w:val="4"/>
        <w:numPr>
          <w:ilvl w:val="0"/>
          <w:numId w:val="15"/>
        </w:numPr>
        <w:ind w:left="0" w:leftChars="0" w:firstLine="0" w:firstLineChars="0"/>
        <w:rPr>
          <w:b w:val="0"/>
          <w:bdr w:val="none" w:sz="0" w:space="0"/>
        </w:rPr>
      </w:pPr>
      <w:bookmarkStart w:id="88" w:name="_Toc15585"/>
      <w:bookmarkStart w:id="89" w:name="结论"/>
      <w:r>
        <w:t>结论</w:t>
      </w:r>
      <w:bookmarkEnd w:id="88"/>
    </w:p>
    <w:p w14:paraId="445DA1CA">
      <w:pPr>
        <w:pStyle w:val="3"/>
        <w:rPr>
          <w:rFonts w:ascii="Times New Roman" w:hAnsi="Times New Roman" w:eastAsia="宋体" w:cs="Times New Roman"/>
          <w:sz w:val="24"/>
          <w:szCs w:val="24"/>
        </w:rPr>
      </w:pPr>
      <w:r>
        <w:rPr>
          <w:rFonts w:ascii="Times New Roman" w:hAnsi="Times New Roman" w:eastAsia="宋体" w:cs="Times New Roman"/>
          <w:sz w:val="24"/>
          <w:szCs w:val="24"/>
        </w:rPr>
        <w:t>本课题以某轻型轿车盘式制动器为研究对象，综合运用机械设计理论、SolidWorks三维建模技术和ANSYS Workbench有限元仿真平台，对制动盘进行了系统的设计计算、有限元分析以及基于拓扑优化的轻量化结构改进。通过一系列的理论分析与数值模拟，主要得出了以下结论：</w:t>
      </w:r>
    </w:p>
    <w:p w14:paraId="112172EA">
      <w:pPr>
        <w:pStyle w:val="3"/>
        <w:numPr>
          <w:ilvl w:val="0"/>
          <w:numId w:val="16"/>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初始设计安全裕度充足</w:t>
      </w:r>
      <w:r>
        <w:rPr>
          <w:rFonts w:ascii="Times New Roman" w:hAnsi="Times New Roman" w:eastAsia="宋体" w:cs="Times New Roman"/>
          <w:sz w:val="24"/>
          <w:szCs w:val="24"/>
        </w:rPr>
        <w:t>：根据轻型轿车的整车参数，计算了制动器所需的制动力矩，并确定了制动盘的外径（200 mm）、内径（60 mm）和厚度（12 mm）等关键几何尺寸。在ANSYS Workbench中对初始实心制动盘进行的静力学分析表明，在模拟紧急制动工况（1000 N 轴向夹紧力和 100 N 切向摩擦力）下，制动盘的最大等效Von-Mises应力仅为 3.86 MPa，远低于灰铸铁（HT250）250 MPa 的屈服强度。这说明初始结构设计偏于保守，具有极大的轻量化优化空间。</w:t>
      </w:r>
    </w:p>
    <w:p w14:paraId="533743E0">
      <w:pPr>
        <w:pStyle w:val="3"/>
        <w:numPr>
          <w:ilvl w:val="0"/>
          <w:numId w:val="16"/>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模态分析揭示动态特性</w:t>
      </w:r>
      <w:r>
        <w:rPr>
          <w:rFonts w:ascii="Times New Roman" w:hAnsi="Times New Roman" w:eastAsia="宋体" w:cs="Times New Roman"/>
          <w:sz w:val="24"/>
          <w:szCs w:val="24"/>
        </w:rPr>
        <w:t>：对初始制动盘进行的模态分析成功提取了前6阶固有频率和振型。排除了前3阶的刚体模态后，第4至6阶固有频率处于低频范围，振型主要表现为盘面的弯曲与扭转。这些动态特性的掌握，为后续在整车匹配中规避共振频率、抑制制动尖叫噪声提供了重要的数据支持。</w:t>
      </w:r>
    </w:p>
    <w:p w14:paraId="493788DD">
      <w:pPr>
        <w:pStyle w:val="3"/>
        <w:numPr>
          <w:ilvl w:val="0"/>
          <w:numId w:val="16"/>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拓扑优化指明改进方向</w:t>
      </w:r>
      <w:r>
        <w:rPr>
          <w:rFonts w:ascii="Times New Roman" w:hAnsi="Times New Roman" w:eastAsia="宋体" w:cs="Times New Roman"/>
          <w:sz w:val="24"/>
          <w:szCs w:val="24"/>
        </w:rPr>
        <w:t>：采用变密度法（SIMP），以最大化结构刚度为目标，对制动盘进行了拓扑优化。经过13次迭代计算，获得了清晰的材料密度分布云图。结果显示，在制动盘安装孔之间的中间环形区域存在大量对结构刚度贡献较小的冗余材料，这为后续的打孔减重设计提供了坚实的理论依据。</w:t>
      </w:r>
    </w:p>
    <w:p w14:paraId="5831BF8B">
      <w:pPr>
        <w:pStyle w:val="3"/>
        <w:numPr>
          <w:ilvl w:val="0"/>
          <w:numId w:val="16"/>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优化方案成效显著</w:t>
      </w:r>
      <w:r>
        <w:rPr>
          <w:rFonts w:ascii="Times New Roman" w:hAnsi="Times New Roman" w:eastAsia="宋体" w:cs="Times New Roman"/>
          <w:sz w:val="24"/>
          <w:szCs w:val="24"/>
        </w:rPr>
        <w:t>：根据拓扑优化结果，在SolidWorks中对制动盘进行了结构重构，在中间环形区域增加了6个直径为 10 mm 的通风孔。对优化后模型重新进行的有限元分析结果令人振奋：在相同的载荷和边界条件下，优化后制动盘的最大总变形量降低了 87.6%，最大等效弹性应变降低了 84.0%，最大等效应力降低了 78.3%（降至 0.84 MPa），安全系数从 64.8 提升至 298。这表明，通过科学的拓扑优化和合理的结构打孔，不仅成功去除了冗余材料实现了轻量化，改善了散热通道，而且极大地提升了制动盘的整体刚度和强度分布的均匀性，完美实现了综合性能的全面提升。</w:t>
      </w:r>
    </w:p>
    <w:bookmarkEnd w:id="89"/>
    <w:p w14:paraId="07525604">
      <w:pPr>
        <w:pStyle w:val="4"/>
        <w:numPr>
          <w:ilvl w:val="0"/>
          <w:numId w:val="15"/>
        </w:numPr>
        <w:ind w:left="0" w:leftChars="0" w:firstLine="0" w:firstLineChars="0"/>
        <w:rPr>
          <w:b w:val="0"/>
          <w:bdr w:val="none" w:sz="0" w:space="0"/>
        </w:rPr>
      </w:pPr>
      <w:bookmarkStart w:id="90" w:name="_Toc8273"/>
      <w:bookmarkStart w:id="91" w:name="展望"/>
      <w:r>
        <w:t>展望</w:t>
      </w:r>
      <w:bookmarkEnd w:id="90"/>
    </w:p>
    <w:p w14:paraId="509B2706">
      <w:pPr>
        <w:pStyle w:val="3"/>
        <w:rPr>
          <w:rFonts w:ascii="Times New Roman" w:hAnsi="Times New Roman" w:eastAsia="宋体" w:cs="Times New Roman"/>
          <w:sz w:val="24"/>
          <w:szCs w:val="24"/>
        </w:rPr>
      </w:pPr>
      <w:r>
        <w:rPr>
          <w:rFonts w:ascii="Times New Roman" w:hAnsi="Times New Roman" w:eastAsia="宋体" w:cs="Times New Roman"/>
          <w:sz w:val="24"/>
          <w:szCs w:val="24"/>
        </w:rPr>
        <w:t>虽然本课题在制动盘的有限元分析和拓扑优化方面取得了较为理想的成果，但受限于研究时间和计算资源，仍有一些方面有待在未来的研究中进一步深化和完善：</w:t>
      </w:r>
    </w:p>
    <w:p w14:paraId="7826E847">
      <w:pPr>
        <w:pStyle w:val="3"/>
        <w:numPr>
          <w:ilvl w:val="0"/>
          <w:numId w:val="17"/>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热-机耦合深度分析</w:t>
      </w:r>
      <w:r>
        <w:rPr>
          <w:rFonts w:ascii="Times New Roman" w:hAnsi="Times New Roman" w:eastAsia="宋体" w:cs="Times New Roman"/>
          <w:sz w:val="24"/>
          <w:szCs w:val="24"/>
        </w:rPr>
        <w:t>：本设计主要侧重于静力学和模态分析。然而，制动过程是一个剧烈的摩擦生热过程，温度场的变化会引起材料物理属性的非线性改变。未来应建立更为复杂的三维热-结构耦合模型，深入研究制动盘在连续长下坡或高频紧急制动工况下的瞬态温度场分布和热应力演化规律。</w:t>
      </w:r>
    </w:p>
    <w:p w14:paraId="6882B8DD">
      <w:pPr>
        <w:pStyle w:val="3"/>
        <w:numPr>
          <w:ilvl w:val="0"/>
          <w:numId w:val="17"/>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多目标综合优化</w:t>
      </w:r>
      <w:r>
        <w:rPr>
          <w:rFonts w:ascii="Times New Roman" w:hAnsi="Times New Roman" w:eastAsia="宋体" w:cs="Times New Roman"/>
          <w:sz w:val="24"/>
          <w:szCs w:val="24"/>
        </w:rPr>
        <w:t>：目前的拓扑优化仅以最大化刚度为单一目标。未来的研究可以引入多目标优化算法，将质量最轻、散热面积最大、应力最小以及固有频率避开噪声敏感区等多个目标结合起来，寻找全局最优的帕累托解集。</w:t>
      </w:r>
    </w:p>
    <w:p w14:paraId="75A1016E">
      <w:pPr>
        <w:pStyle w:val="3"/>
        <w:numPr>
          <w:ilvl w:val="0"/>
          <w:numId w:val="17"/>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新型摩擦材料的探索</w:t>
      </w:r>
      <w:r>
        <w:rPr>
          <w:rFonts w:ascii="Times New Roman" w:hAnsi="Times New Roman" w:eastAsia="宋体" w:cs="Times New Roman"/>
          <w:sz w:val="24"/>
          <w:szCs w:val="24"/>
        </w:rPr>
        <w:t>：随着新能源汽车对轻量化要求的不断提高，传统的灰铸铁制动盘可能无法满足极致的减重需求。未来可以针对铝基碳化硅或碳纤维陶瓷等新型复合材料制动盘开展结构设计与仿真研究，进一步提升制动系统的综合效能。</w:t>
      </w:r>
    </w:p>
    <w:p w14:paraId="48821EE3">
      <w:pPr>
        <w:pStyle w:val="3"/>
        <w:numPr>
          <w:ilvl w:val="0"/>
          <w:numId w:val="17"/>
        </w:numPr>
        <w:topLinePunct w:val="0"/>
        <w:ind w:left="0" w:leftChars="0" w:firstLine="480" w:firstLineChars="0"/>
        <w:rPr>
          <w:rFonts w:hint="eastAsia" w:ascii="宋体" w:hAnsi="宋体" w:eastAsia="宋体" w:cs="宋体"/>
          <w:b w:val="0"/>
          <w:sz w:val="24"/>
          <w:szCs w:val="24"/>
          <w:bdr w:val="none" w:sz="0" w:space="0"/>
        </w:rPr>
      </w:pPr>
      <w:r>
        <w:rPr>
          <w:rFonts w:ascii="Times New Roman" w:hAnsi="Times New Roman" w:eastAsia="宋体" w:cs="Times New Roman"/>
          <w:b/>
          <w:sz w:val="24"/>
          <w:szCs w:val="24"/>
        </w:rPr>
        <w:t>试验验证的补充</w:t>
      </w:r>
      <w:r>
        <w:rPr>
          <w:rFonts w:ascii="Times New Roman" w:hAnsi="Times New Roman" w:eastAsia="宋体" w:cs="Times New Roman"/>
          <w:sz w:val="24"/>
          <w:szCs w:val="24"/>
        </w:rPr>
        <w:t>：有限元仿真虽然精度越来越高，但仍是对物理世界的数学近似。未来如果有条件，应制造出优化后的制动盘物理样机，在制动惯性台架上进行实际的摩擦磨损试验、热衰退试验和噪声测试，以真实试验数据进一步校核和修正有限元仿真模型。</w:t>
      </w:r>
    </w:p>
    <w:bookmarkEnd w:id="87"/>
    <w:bookmarkEnd w:id="91"/>
    <w:p w14:paraId="3389E318">
      <w:pPr>
        <w:pStyle w:val="77"/>
        <w:widowControl/>
      </w:pPr>
      <w:bookmarkStart w:id="92" w:name="_Toc26975"/>
      <w:bookmarkStart w:id="93" w:name="致谢"/>
      <w:r>
        <w:br w:type="page"/>
      </w:r>
      <w:r>
        <w:t>致谢</w:t>
      </w:r>
      <w:bookmarkEnd w:id="92"/>
    </w:p>
    <w:p w14:paraId="1EF27C5F">
      <w:pPr>
        <w:pStyle w:val="3"/>
        <w:rPr>
          <w:rFonts w:ascii="Times New Roman" w:hAnsi="Times New Roman" w:eastAsia="宋体" w:cs="Times New Roman"/>
          <w:sz w:val="24"/>
          <w:szCs w:val="24"/>
        </w:rPr>
      </w:pPr>
      <w:r>
        <w:rPr>
          <w:rFonts w:ascii="Times New Roman" w:hAnsi="Times New Roman" w:eastAsia="宋体" w:cs="Times New Roman"/>
          <w:sz w:val="24"/>
          <w:szCs w:val="24"/>
        </w:rPr>
        <w:t>时光荏苒，岁月如梭，转眼间大学本科生涯即将落下帷幕。在这篇毕业论文即将定稿之际，内心充满了感激之情。</w:t>
      </w:r>
    </w:p>
    <w:p w14:paraId="161F04DE">
      <w:pPr>
        <w:pStyle w:val="3"/>
        <w:rPr>
          <w:rFonts w:ascii="Times New Roman" w:hAnsi="Times New Roman" w:eastAsia="宋体" w:cs="Times New Roman"/>
          <w:sz w:val="24"/>
          <w:szCs w:val="24"/>
        </w:rPr>
      </w:pPr>
      <w:r>
        <w:rPr>
          <w:rFonts w:ascii="Times New Roman" w:hAnsi="Times New Roman" w:eastAsia="宋体" w:cs="Times New Roman"/>
          <w:sz w:val="24"/>
          <w:szCs w:val="24"/>
        </w:rPr>
        <w:t>首先，要向指导老师致以最诚挚的谢意。在整个毕业设计的过程中，从最初的选题构思、外文文献的查阅，到SolidWorks建模的指导、ANSYS有限元分析软件的答疑解惑，再到最后论文的反复修改与润色，老师都倾注了大量的心血。老师严谨的治学态度、渊博的专业知识以及对学生耐心细致的关怀，令人受益匪浅。正是有了老师的悉心指导，才能顺利克服设计过程中的种种难关，最终完成这篇论文。</w:t>
      </w:r>
    </w:p>
    <w:p w14:paraId="56AD3FD9">
      <w:pPr>
        <w:pStyle w:val="3"/>
        <w:rPr>
          <w:rFonts w:ascii="Times New Roman" w:hAnsi="Times New Roman" w:eastAsia="宋体" w:cs="Times New Roman"/>
          <w:sz w:val="24"/>
          <w:szCs w:val="24"/>
        </w:rPr>
      </w:pPr>
      <w:r>
        <w:rPr>
          <w:rFonts w:ascii="Times New Roman" w:hAnsi="Times New Roman" w:eastAsia="宋体" w:cs="Times New Roman"/>
          <w:sz w:val="24"/>
          <w:szCs w:val="24"/>
        </w:rPr>
        <w:t>其次，要感谢在大学四年里所有教导过的老师们。正是老师们在课堂上的辛勤耕耘，打下了坚实的专业基础，引领着步入机械工程这一充满挑战与魅力的殿堂。</w:t>
      </w:r>
    </w:p>
    <w:p w14:paraId="4E3C6DD0">
      <w:pPr>
        <w:pStyle w:val="3"/>
        <w:rPr>
          <w:rFonts w:ascii="Times New Roman" w:hAnsi="Times New Roman" w:eastAsia="宋体" w:cs="Times New Roman"/>
          <w:sz w:val="24"/>
          <w:szCs w:val="24"/>
        </w:rPr>
      </w:pPr>
      <w:r>
        <w:rPr>
          <w:rFonts w:ascii="Times New Roman" w:hAnsi="Times New Roman" w:eastAsia="宋体" w:cs="Times New Roman"/>
          <w:sz w:val="24"/>
          <w:szCs w:val="24"/>
        </w:rPr>
        <w:t>同时，也要感谢朝夕相处的同学们。在遇到软件操作难题或理论计算瓶颈时，总是相互探讨、共同进步。那段在实验室里为了跑出一个收敛的仿真结果而熬夜奋战的日子，将成为人生中最宝贵的记忆。</w:t>
      </w:r>
    </w:p>
    <w:p w14:paraId="206FB0B7">
      <w:pPr>
        <w:pStyle w:val="3"/>
        <w:rPr>
          <w:rFonts w:ascii="Times New Roman" w:hAnsi="Times New Roman" w:eastAsia="宋体" w:cs="Times New Roman"/>
          <w:sz w:val="24"/>
          <w:szCs w:val="24"/>
        </w:rPr>
      </w:pPr>
      <w:r>
        <w:rPr>
          <w:rFonts w:ascii="Times New Roman" w:hAnsi="Times New Roman" w:eastAsia="宋体" w:cs="Times New Roman"/>
          <w:sz w:val="24"/>
          <w:szCs w:val="24"/>
        </w:rPr>
        <w:t>最后，要将最深沉的爱与感谢献给家人。无论遇到什么困难和挫折，家人始终是最坚强的后盾。家人的默默付出和无私支持，是不断前行的最大动力。</w:t>
      </w:r>
    </w:p>
    <w:p w14:paraId="236A8AC9">
      <w:pPr>
        <w:pStyle w:val="3"/>
        <w:rPr>
          <w:rFonts w:ascii="Times New Roman" w:hAnsi="Times New Roman" w:eastAsia="宋体" w:cs="Times New Roman"/>
          <w:sz w:val="24"/>
          <w:szCs w:val="24"/>
        </w:rPr>
      </w:pPr>
      <w:r>
        <w:rPr>
          <w:rFonts w:ascii="Times New Roman" w:hAnsi="Times New Roman" w:eastAsia="宋体" w:cs="Times New Roman"/>
          <w:sz w:val="24"/>
          <w:szCs w:val="24"/>
        </w:rPr>
        <w:t>未来的道路依然漫长，将带着这份感恩与责任，在机械工程的领域里继续探索，努力将所学知识应用于实践，不负母校的培养与期望。</w:t>
      </w:r>
    </w:p>
    <w:bookmarkEnd w:id="93"/>
    <w:p w14:paraId="69783F31">
      <w:pPr>
        <w:pStyle w:val="77"/>
      </w:pPr>
      <w:bookmarkStart w:id="94" w:name="_Toc24008"/>
      <w:bookmarkStart w:id="95" w:name="参考文献"/>
      <w:r>
        <w:br w:type="page"/>
      </w:r>
      <w:r>
        <w:t>参考文献</w:t>
      </w:r>
      <w:bookmarkEnd w:id="94"/>
    </w:p>
    <w:p w14:paraId="15BF09FA">
      <w:pPr>
        <w:pStyle w:val="79"/>
        <w:numPr>
          <w:ilvl w:val="0"/>
          <w:numId w:val="18"/>
        </w:numPr>
        <w:ind w:left="425" w:leftChars="0" w:hanging="425" w:firstLineChars="0"/>
        <w:rPr>
          <w:b w:val="0"/>
          <w:bdr w:val="none" w:sz="0" w:space="0"/>
        </w:rPr>
      </w:pPr>
      <w:r>
        <w:t>汤进瑞. 基于极端工况的通风制动盘结构设计优化[J]. 应用技术学报, 2024, 24(01): 23-28.</w:t>
      </w:r>
    </w:p>
    <w:p w14:paraId="107DF5BF">
      <w:pPr>
        <w:pStyle w:val="79"/>
        <w:numPr>
          <w:ilvl w:val="0"/>
          <w:numId w:val="18"/>
        </w:numPr>
        <w:ind w:left="425" w:leftChars="0" w:hanging="425" w:firstLineChars="0"/>
        <w:rPr>
          <w:b w:val="0"/>
          <w:bdr w:val="none" w:sz="0" w:space="0"/>
        </w:rPr>
      </w:pPr>
      <w:r>
        <w:t>崔鑫垚. 多物理场耦合驱动的新能源汽车轻质制动盘结构设计[J]. 建模与仿真, 2025, 14(01): 112-120.</w:t>
      </w:r>
    </w:p>
    <w:p w14:paraId="75770C61">
      <w:pPr>
        <w:pStyle w:val="79"/>
        <w:numPr>
          <w:ilvl w:val="0"/>
          <w:numId w:val="18"/>
        </w:numPr>
        <w:ind w:left="425" w:leftChars="0" w:hanging="425" w:firstLineChars="0"/>
        <w:rPr>
          <w:b w:val="0"/>
          <w:bdr w:val="none" w:sz="0" w:space="0"/>
        </w:rPr>
      </w:pPr>
      <w:r>
        <w:t>邓中迪. 基于ANSYS的破碎机回转座总成的设计优化[J]. 机械研究与应用, 2024, 37(06): 85-88.</w:t>
      </w:r>
    </w:p>
    <w:p w14:paraId="72DABEB1">
      <w:pPr>
        <w:pStyle w:val="79"/>
        <w:numPr>
          <w:ilvl w:val="0"/>
          <w:numId w:val="18"/>
        </w:numPr>
        <w:ind w:left="425" w:leftChars="0" w:hanging="425" w:firstLineChars="0"/>
        <w:rPr>
          <w:b w:val="0"/>
          <w:bdr w:val="none" w:sz="0" w:space="0"/>
        </w:rPr>
      </w:pPr>
      <w:r>
        <w:t>刘顺楚. 汽车盘式制动系统轻量化设计[J]. 山东理工大学学报(自然科学版), 2021, 35(09): 27-30.</w:t>
      </w:r>
    </w:p>
    <w:p w14:paraId="19378E21">
      <w:pPr>
        <w:pStyle w:val="79"/>
        <w:numPr>
          <w:ilvl w:val="0"/>
          <w:numId w:val="18"/>
        </w:numPr>
        <w:ind w:left="425" w:leftChars="0" w:hanging="425" w:firstLineChars="0"/>
        <w:rPr>
          <w:b w:val="0"/>
          <w:bdr w:val="none" w:sz="0" w:space="0"/>
        </w:rPr>
      </w:pPr>
      <w:r>
        <w:t>王向东. 面向增材制造的动车组制动盘结构优化设计[D]. 兰州交通大学, 2023.</w:t>
      </w:r>
    </w:p>
    <w:p w14:paraId="23EA1364">
      <w:pPr>
        <w:pStyle w:val="79"/>
        <w:numPr>
          <w:ilvl w:val="0"/>
          <w:numId w:val="18"/>
        </w:numPr>
        <w:ind w:left="425" w:leftChars="0" w:hanging="425" w:firstLineChars="0"/>
        <w:rPr>
          <w:b w:val="0"/>
          <w:bdr w:val="none" w:sz="0" w:space="0"/>
        </w:rPr>
      </w:pPr>
      <w:r>
        <w:t>戚浩. 数字孪生驱动的机械工艺系统研究进展[J]. 机械工程学报, 2024, 60(01): 1-15.</w:t>
      </w:r>
    </w:p>
    <w:p w14:paraId="50E34F34">
      <w:pPr>
        <w:pStyle w:val="79"/>
        <w:numPr>
          <w:ilvl w:val="0"/>
          <w:numId w:val="18"/>
        </w:numPr>
        <w:ind w:left="425" w:leftChars="0" w:hanging="425" w:firstLineChars="0"/>
        <w:rPr>
          <w:b w:val="0"/>
          <w:bdr w:val="none" w:sz="0" w:space="0"/>
        </w:rPr>
      </w:pPr>
      <w:r>
        <w:t>吕雪梅. 考虑接触热阻的高速列车制动盘热机耦合行为分析[J]. 机械工程学报, 2022, 58(22): 296-305.</w:t>
      </w:r>
    </w:p>
    <w:p w14:paraId="40D4B54F">
      <w:pPr>
        <w:pStyle w:val="79"/>
        <w:numPr>
          <w:ilvl w:val="0"/>
          <w:numId w:val="18"/>
        </w:numPr>
        <w:ind w:left="425" w:leftChars="0" w:hanging="425" w:firstLineChars="0"/>
        <w:rPr>
          <w:b w:val="0"/>
          <w:bdr w:val="none" w:sz="0" w:space="0"/>
        </w:rPr>
      </w:pPr>
      <w:r>
        <w:t>赵文杰. 基于ANSYS的汽车制动盘温度场仿真分析[J]. 西华大学学报(自然科学版), 2021, 31(02): 15-19.</w:t>
      </w:r>
    </w:p>
    <w:p w14:paraId="417622D2">
      <w:pPr>
        <w:pStyle w:val="79"/>
        <w:numPr>
          <w:ilvl w:val="0"/>
          <w:numId w:val="18"/>
        </w:numPr>
        <w:ind w:left="425" w:leftChars="0" w:hanging="425" w:firstLineChars="0"/>
        <w:rPr>
          <w:b w:val="0"/>
          <w:bdr w:val="none" w:sz="0" w:space="0"/>
        </w:rPr>
      </w:pPr>
      <w:r>
        <w:t>陈杨. 某商务车制动器有限元分析[J]. 建模与仿真, 2023, 12(02): 1-10.</w:t>
      </w:r>
    </w:p>
    <w:p w14:paraId="43A44BD6">
      <w:pPr>
        <w:pStyle w:val="79"/>
        <w:numPr>
          <w:ilvl w:val="0"/>
          <w:numId w:val="18"/>
        </w:numPr>
        <w:ind w:left="425" w:leftChars="0" w:hanging="425" w:firstLineChars="0"/>
        <w:rPr>
          <w:b w:val="0"/>
          <w:bdr w:val="none" w:sz="0" w:space="0"/>
        </w:rPr>
      </w:pPr>
      <w:r>
        <w:rPr>
          <w:rFonts w:hint="eastAsia"/>
        </w:rPr>
        <w:t>:</w:t>
      </w:r>
      <w:r>
        <w:rPr>
          <w:rFonts w:hint="default"/>
        </w:rPr>
        <w:fldChar w:fldCharType="begin"/>
      </w:r>
      <w:r>
        <w:rPr>
          <w:rFonts w:hint="default"/>
        </w:rPr>
        <w:instrText xml:space="preserve"> HYPERLINK "https://www.hanspub.org/journal/articles?searchcode=%e8%b4%be%e6%99%a8%e8%be%89&amp;searchfield=authors&amp;page=1" \t "https://www.hanspub.org/journal/_blank" </w:instrText>
      </w:r>
      <w:r>
        <w:rPr>
          <w:rFonts w:hint="default"/>
        </w:rPr>
        <w:fldChar w:fldCharType="separate"/>
      </w:r>
      <w:r>
        <w:rPr>
          <w:rFonts w:hint="default"/>
        </w:rPr>
        <w:t>贾晨辉</w:t>
      </w:r>
      <w:r>
        <w:rPr>
          <w:rFonts w:hint="default"/>
        </w:rPr>
        <w:fldChar w:fldCharType="end"/>
      </w:r>
      <w:r>
        <w:t>. 基于ANSYS Workbench的盘式制动器主要零件的有限元分析[J]. 机械制造与自动化, 2024, 53(01): 136-140.</w:t>
      </w:r>
    </w:p>
    <w:p w14:paraId="2F9196E0">
      <w:pPr>
        <w:pStyle w:val="79"/>
        <w:numPr>
          <w:ilvl w:val="0"/>
          <w:numId w:val="18"/>
        </w:numPr>
        <w:ind w:left="425" w:leftChars="0" w:hanging="425" w:firstLineChars="0"/>
        <w:rPr>
          <w:b w:val="0"/>
          <w:bdr w:val="none" w:sz="0" w:space="0"/>
        </w:rPr>
      </w:pPr>
      <w:r>
        <w:t>Liu Y. Finite Element Analysis and Optimization of Automotive Disk Brakes Using ANSYS[J]. Symmetry, 2026, 18(2): 349.</w:t>
      </w:r>
      <w:bookmarkStart w:id="96" w:name="_GoBack"/>
      <w:bookmarkEnd w:id="96"/>
    </w:p>
    <w:p w14:paraId="75EEA6E3">
      <w:pPr>
        <w:pStyle w:val="79"/>
        <w:numPr>
          <w:ilvl w:val="0"/>
          <w:numId w:val="18"/>
        </w:numPr>
        <w:ind w:left="425" w:leftChars="0" w:hanging="425" w:firstLineChars="0"/>
        <w:rPr>
          <w:b w:val="0"/>
          <w:bdr w:val="none" w:sz="0" w:space="0"/>
        </w:rPr>
      </w:pPr>
      <w:r>
        <w:t>Jafari R. Optimization and thermal analysis of radial ventilated brake disc[J]. Case Studies in Thermal Engineering, 2022, 31: 101826.</w:t>
      </w:r>
    </w:p>
    <w:p w14:paraId="23F6D084">
      <w:pPr>
        <w:pStyle w:val="79"/>
        <w:numPr>
          <w:ilvl w:val="0"/>
          <w:numId w:val="18"/>
        </w:numPr>
        <w:ind w:left="425" w:leftChars="0" w:hanging="425" w:firstLineChars="0"/>
        <w:rPr>
          <w:b w:val="0"/>
          <w:bdr w:val="none" w:sz="0" w:space="0"/>
        </w:rPr>
      </w:pPr>
      <w:r>
        <w:t>Mathad M. Non-Linear structural and thermal analysis of automotive brake disc[J]. Materials Today: Proceedings, 2022, 54: 1-6.</w:t>
      </w:r>
    </w:p>
    <w:p w14:paraId="6118B52E">
      <w:pPr>
        <w:pStyle w:val="79"/>
        <w:numPr>
          <w:ilvl w:val="0"/>
          <w:numId w:val="18"/>
        </w:numPr>
        <w:ind w:left="425" w:leftChars="0" w:hanging="425" w:firstLineChars="0"/>
        <w:rPr>
          <w:b w:val="0"/>
          <w:bdr w:val="none" w:sz="0" w:space="0"/>
        </w:rPr>
      </w:pPr>
      <w:r>
        <w:t>Jiang D. The Analysis and Optimization Approach for Solving the Thermomechanical Issues of Automotive Disk Brake[J]. SAE International Journal of Passenger Cars - Mechanical Systems, 2025, 18(03): 13-25.</w:t>
      </w:r>
    </w:p>
    <w:p w14:paraId="45A14297">
      <w:pPr>
        <w:pStyle w:val="79"/>
        <w:numPr>
          <w:ilvl w:val="0"/>
          <w:numId w:val="18"/>
        </w:numPr>
        <w:ind w:left="425" w:leftChars="0" w:hanging="425" w:firstLineChars="0"/>
        <w:rPr>
          <w:b w:val="0"/>
          <w:bdr w:val="none" w:sz="0" w:space="0"/>
        </w:rPr>
      </w:pPr>
      <w:r>
        <w:t>Otkur M. Thermal Analysis and Optimization of a Disc Brake Rotor for a Formula SAE Racing Car[J]. Journal of Fluid Flow, Heat and Mass Transfer, 2024, 11: 42-49.</w:t>
      </w:r>
    </w:p>
    <w:bookmarkEnd w:id="95"/>
    <w:sect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MS Mincho">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A98BF"/>
    <w:multiLevelType w:val="singleLevel"/>
    <w:tmpl w:val="858A98BF"/>
    <w:lvl w:ilvl="0" w:tentative="0">
      <w:start w:val="1"/>
      <w:numFmt w:val="decimal"/>
      <w:suff w:val="space"/>
      <w:lvlText w:val="4.%1"/>
      <w:lvlJc w:val="left"/>
      <w:pPr>
        <w:ind w:left="0" w:firstLine="0"/>
      </w:pPr>
      <w:rPr>
        <w:rFonts w:hint="default"/>
      </w:rPr>
    </w:lvl>
  </w:abstractNum>
  <w:abstractNum w:abstractNumId="1">
    <w:nsid w:val="880CD2FF"/>
    <w:multiLevelType w:val="singleLevel"/>
    <w:tmpl w:val="880CD2FF"/>
    <w:lvl w:ilvl="0" w:tentative="0">
      <w:start w:val="1"/>
      <w:numFmt w:val="decimal"/>
      <w:suff w:val="space"/>
      <w:lvlText w:val="1.3.%1"/>
      <w:lvlJc w:val="left"/>
      <w:pPr>
        <w:ind w:left="0" w:firstLine="0"/>
      </w:pPr>
      <w:rPr>
        <w:rFonts w:hint="default"/>
      </w:rPr>
    </w:lvl>
  </w:abstractNum>
  <w:abstractNum w:abstractNumId="2">
    <w:nsid w:val="88A9FE7E"/>
    <w:multiLevelType w:val="singleLevel"/>
    <w:tmpl w:val="88A9FE7E"/>
    <w:lvl w:ilvl="0" w:tentative="0">
      <w:start w:val="1"/>
      <w:numFmt w:val="decimal"/>
      <w:suff w:val="space"/>
      <w:lvlText w:val="1.5.%1"/>
      <w:lvlJc w:val="left"/>
      <w:pPr>
        <w:ind w:left="0" w:firstLine="0"/>
      </w:pPr>
      <w:rPr>
        <w:rFonts w:hint="default"/>
      </w:rPr>
    </w:lvl>
  </w:abstractNum>
  <w:abstractNum w:abstractNumId="3">
    <w:nsid w:val="8BF80BC2"/>
    <w:multiLevelType w:val="singleLevel"/>
    <w:tmpl w:val="8BF80BC2"/>
    <w:lvl w:ilvl="0" w:tentative="0">
      <w:start w:val="1"/>
      <w:numFmt w:val="chineseCounting"/>
      <w:suff w:val="space"/>
      <w:lvlText w:val="第%1章"/>
      <w:lvlJc w:val="left"/>
      <w:pPr>
        <w:ind w:left="0" w:firstLine="0"/>
      </w:pPr>
      <w:rPr>
        <w:rFonts w:hint="eastAsia"/>
      </w:rPr>
    </w:lvl>
  </w:abstractNum>
  <w:abstractNum w:abstractNumId="4">
    <w:nsid w:val="9826D42D"/>
    <w:multiLevelType w:val="singleLevel"/>
    <w:tmpl w:val="9826D42D"/>
    <w:lvl w:ilvl="0" w:tentative="0">
      <w:start w:val="1"/>
      <w:numFmt w:val="decimal"/>
      <w:suff w:val="space"/>
      <w:lvlText w:val="2.%1"/>
      <w:lvlJc w:val="left"/>
      <w:pPr>
        <w:ind w:left="0" w:firstLine="0"/>
      </w:pPr>
      <w:rPr>
        <w:rFonts w:hint="default"/>
      </w:rPr>
    </w:lvl>
  </w:abstractNum>
  <w:abstractNum w:abstractNumId="5">
    <w:nsid w:val="99C505FE"/>
    <w:multiLevelType w:val="singleLevel"/>
    <w:tmpl w:val="99C505FE"/>
    <w:lvl w:ilvl="0" w:tentative="0">
      <w:start w:val="1"/>
      <w:numFmt w:val="decimal"/>
      <w:lvlText w:val="[%1]"/>
      <w:lvlJc w:val="left"/>
      <w:pPr>
        <w:tabs>
          <w:tab w:val="left" w:pos="210"/>
        </w:tabs>
        <w:ind w:left="425" w:hanging="425"/>
      </w:pPr>
      <w:rPr>
        <w:rFonts w:hint="default"/>
      </w:rPr>
    </w:lvl>
  </w:abstractNum>
  <w:abstractNum w:abstractNumId="6">
    <w:nsid w:val="D26A4389"/>
    <w:multiLevelType w:val="singleLevel"/>
    <w:tmpl w:val="D26A4389"/>
    <w:lvl w:ilvl="0" w:tentative="0">
      <w:start w:val="1"/>
      <w:numFmt w:val="decimal"/>
      <w:suff w:val="space"/>
      <w:lvlText w:val="1.%1"/>
      <w:lvlJc w:val="left"/>
      <w:pPr>
        <w:ind w:left="0" w:firstLine="0"/>
      </w:pPr>
      <w:rPr>
        <w:rFonts w:hint="default"/>
      </w:rPr>
    </w:lvl>
  </w:abstractNum>
  <w:abstractNum w:abstractNumId="7">
    <w:nsid w:val="E680091C"/>
    <w:multiLevelType w:val="singleLevel"/>
    <w:tmpl w:val="E680091C"/>
    <w:lvl w:ilvl="0" w:tentative="0">
      <w:start w:val="1"/>
      <w:numFmt w:val="decimal"/>
      <w:suff w:val="space"/>
      <w:lvlText w:val="2.1.%1"/>
      <w:lvlJc w:val="left"/>
      <w:pPr>
        <w:ind w:left="0" w:firstLine="0"/>
      </w:pPr>
      <w:rPr>
        <w:rFonts w:hint="default"/>
      </w:rPr>
    </w:lvl>
  </w:abstractNum>
  <w:abstractNum w:abstractNumId="8">
    <w:nsid w:val="EA356930"/>
    <w:multiLevelType w:val="singleLevel"/>
    <w:tmpl w:val="EA356930"/>
    <w:lvl w:ilvl="0" w:tentative="0">
      <w:start w:val="2"/>
      <w:numFmt w:val="decimal"/>
      <w:suff w:val="nothing"/>
      <w:lvlText w:val="（%1）"/>
      <w:lvlJc w:val="left"/>
    </w:lvl>
  </w:abstractNum>
  <w:abstractNum w:abstractNumId="9">
    <w:nsid w:val="F9C4D52D"/>
    <w:multiLevelType w:val="singleLevel"/>
    <w:tmpl w:val="F9C4D52D"/>
    <w:lvl w:ilvl="0" w:tentative="0">
      <w:start w:val="1"/>
      <w:numFmt w:val="decimal"/>
      <w:suff w:val="nothing"/>
      <w:lvlText w:val="（%1）"/>
      <w:lvlJc w:val="left"/>
      <w:pPr>
        <w:ind w:left="0" w:firstLine="480"/>
      </w:pPr>
      <w:rPr>
        <w:rFonts w:hint="default"/>
      </w:rPr>
    </w:lvl>
  </w:abstractNum>
  <w:abstractNum w:abstractNumId="10">
    <w:nsid w:val="0FB3C940"/>
    <w:multiLevelType w:val="singleLevel"/>
    <w:tmpl w:val="0FB3C940"/>
    <w:lvl w:ilvl="0" w:tentative="0">
      <w:start w:val="1"/>
      <w:numFmt w:val="decimal"/>
      <w:suff w:val="space"/>
      <w:lvlText w:val="5.%1"/>
      <w:lvlJc w:val="left"/>
      <w:pPr>
        <w:ind w:left="0" w:firstLine="0"/>
      </w:pPr>
      <w:rPr>
        <w:rFonts w:hint="default"/>
      </w:rPr>
    </w:lvl>
  </w:abstractNum>
  <w:abstractNum w:abstractNumId="11">
    <w:nsid w:val="169FA130"/>
    <w:multiLevelType w:val="singleLevel"/>
    <w:tmpl w:val="169FA130"/>
    <w:lvl w:ilvl="0" w:tentative="0">
      <w:start w:val="1"/>
      <w:numFmt w:val="decimal"/>
      <w:suff w:val="nothing"/>
      <w:lvlText w:val="（%1）"/>
      <w:lvlJc w:val="left"/>
    </w:lvl>
  </w:abstractNum>
  <w:abstractNum w:abstractNumId="12">
    <w:nsid w:val="23E2563D"/>
    <w:multiLevelType w:val="singleLevel"/>
    <w:tmpl w:val="23E2563D"/>
    <w:lvl w:ilvl="0" w:tentative="0">
      <w:start w:val="1"/>
      <w:numFmt w:val="decimal"/>
      <w:suff w:val="nothing"/>
      <w:lvlText w:val="（%1）"/>
      <w:lvlJc w:val="left"/>
    </w:lvl>
  </w:abstractNum>
  <w:abstractNum w:abstractNumId="13">
    <w:nsid w:val="470CD909"/>
    <w:multiLevelType w:val="singleLevel"/>
    <w:tmpl w:val="470CD909"/>
    <w:lvl w:ilvl="0" w:tentative="0">
      <w:start w:val="1"/>
      <w:numFmt w:val="decimal"/>
      <w:suff w:val="nothing"/>
      <w:lvlText w:val="（%1）"/>
      <w:lvlJc w:val="left"/>
      <w:pPr>
        <w:ind w:left="0" w:firstLine="480"/>
      </w:pPr>
      <w:rPr>
        <w:rFonts w:hint="default"/>
      </w:rPr>
    </w:lvl>
  </w:abstractNum>
  <w:abstractNum w:abstractNumId="14">
    <w:nsid w:val="4756D804"/>
    <w:multiLevelType w:val="singleLevel"/>
    <w:tmpl w:val="4756D804"/>
    <w:lvl w:ilvl="0" w:tentative="0">
      <w:start w:val="1"/>
      <w:numFmt w:val="decimal"/>
      <w:suff w:val="space"/>
      <w:lvlText w:val="5.3.%1"/>
      <w:lvlJc w:val="left"/>
      <w:pPr>
        <w:ind w:left="0" w:firstLine="0"/>
      </w:pPr>
      <w:rPr>
        <w:rFonts w:hint="default"/>
      </w:rPr>
    </w:lvl>
  </w:abstractNum>
  <w:abstractNum w:abstractNumId="15">
    <w:nsid w:val="5410B24C"/>
    <w:multiLevelType w:val="singleLevel"/>
    <w:tmpl w:val="5410B24C"/>
    <w:lvl w:ilvl="0" w:tentative="0">
      <w:start w:val="1"/>
      <w:numFmt w:val="decimal"/>
      <w:suff w:val="space"/>
      <w:lvlText w:val="3.%1"/>
      <w:lvlJc w:val="left"/>
      <w:pPr>
        <w:ind w:left="0" w:firstLine="0"/>
      </w:pPr>
      <w:rPr>
        <w:rFonts w:hint="default"/>
      </w:rPr>
    </w:lvl>
  </w:abstractNum>
  <w:abstractNum w:abstractNumId="16">
    <w:nsid w:val="62ABE344"/>
    <w:multiLevelType w:val="singleLevel"/>
    <w:tmpl w:val="62ABE344"/>
    <w:lvl w:ilvl="0" w:tentative="0">
      <w:start w:val="1"/>
      <w:numFmt w:val="decimal"/>
      <w:suff w:val="space"/>
      <w:lvlText w:val="6.%1"/>
      <w:lvlJc w:val="left"/>
      <w:pPr>
        <w:ind w:left="0" w:firstLine="0"/>
      </w:pPr>
      <w:rPr>
        <w:rFonts w:hint="default"/>
      </w:rPr>
    </w:lvl>
  </w:abstractNum>
  <w:abstractNum w:abstractNumId="17">
    <w:nsid w:val="7452223E"/>
    <w:multiLevelType w:val="singleLevel"/>
    <w:tmpl w:val="7452223E"/>
    <w:lvl w:ilvl="0" w:tentative="0">
      <w:start w:val="1"/>
      <w:numFmt w:val="decimal"/>
      <w:suff w:val="space"/>
      <w:lvlText w:val="3.3.%1"/>
      <w:lvlJc w:val="left"/>
      <w:pPr>
        <w:ind w:left="0" w:firstLine="0"/>
      </w:pPr>
      <w:rPr>
        <w:rFonts w:hint="default"/>
      </w:rPr>
    </w:lvl>
  </w:abstractNum>
  <w:num w:numId="1">
    <w:abstractNumId w:val="3"/>
  </w:num>
  <w:num w:numId="2">
    <w:abstractNumId w:val="6"/>
  </w:num>
  <w:num w:numId="3">
    <w:abstractNumId w:val="1"/>
  </w:num>
  <w:num w:numId="4">
    <w:abstractNumId w:val="2"/>
  </w:num>
  <w:num w:numId="5">
    <w:abstractNumId w:val="8"/>
  </w:num>
  <w:num w:numId="6">
    <w:abstractNumId w:val="12"/>
  </w:num>
  <w:num w:numId="7">
    <w:abstractNumId w:val="11"/>
  </w:num>
  <w:num w:numId="8">
    <w:abstractNumId w:val="4"/>
  </w:num>
  <w:num w:numId="9">
    <w:abstractNumId w:val="7"/>
  </w:num>
  <w:num w:numId="10">
    <w:abstractNumId w:val="15"/>
  </w:num>
  <w:num w:numId="11">
    <w:abstractNumId w:val="17"/>
  </w:num>
  <w:num w:numId="12">
    <w:abstractNumId w:val="0"/>
  </w:num>
  <w:num w:numId="13">
    <w:abstractNumId w:val="10"/>
  </w:num>
  <w:num w:numId="14">
    <w:abstractNumId w:val="14"/>
  </w:num>
  <w:num w:numId="15">
    <w:abstractNumId w:val="16"/>
  </w:num>
  <w:num w:numId="16">
    <w:abstractNumId w:val="13"/>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splitPgBreakAndParaMark/>
    <w:compatSetting w:name="compatibilityMode" w:uri="http://schemas.microsoft.com/office/word" w:val="12"/>
  </w:compat>
  <w:rsids>
    <w:rsidRoot w:val="00000000"/>
    <w:rsid w:val="1DF76CF5"/>
    <w:rsid w:val="24D72EEE"/>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US" w:eastAsia="en-US" w:bidi="ar-SA"/>
    </w:rPr>
  </w:style>
  <w:style w:type="paragraph" w:styleId="2">
    <w:name w:val="heading 1"/>
    <w:next w:val="3"/>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4">
    <w:name w:val="heading 2"/>
    <w:next w:val="3"/>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5">
    <w:name w:val="heading 3"/>
    <w:next w:val="3"/>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6">
    <w:name w:val="heading 4"/>
    <w:next w:val="3"/>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7">
    <w:name w:val="heading 5"/>
    <w:next w:val="3"/>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8">
    <w:name w:val="heading 6"/>
    <w:next w:val="3"/>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9">
    <w:name w:val="heading 7"/>
    <w:next w:val="3"/>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10">
    <w:name w:val="heading 8"/>
    <w:next w:val="3"/>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1">
    <w:name w:val="heading 9"/>
    <w:next w:val="3"/>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2">
    <w:name w:val="Default Paragraph Font"/>
    <w:semiHidden/>
    <w:unhideWhenUsed/>
    <w:uiPriority w:val="0"/>
  </w:style>
  <w:style w:type="table" w:default="1" w:styleId="21">
    <w:name w:val="Normal Table"/>
    <w:uiPriority w:val="0"/>
    <w:tblPr>
      <w:tblCellMar>
        <w:top w:w="0" w:type="dxa"/>
        <w:left w:w="108" w:type="dxa"/>
        <w:bottom w:w="0" w:type="dxa"/>
        <w:right w:w="108" w:type="dxa"/>
      </w:tblCellMar>
    </w:tblPr>
  </w:style>
  <w:style w:type="paragraph" w:styleId="3">
    <w:name w:val="Body Text"/>
    <w:link w:val="25"/>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caption"/>
    <w:basedOn w:val="1"/>
    <w:qFormat/>
    <w:uiPriority w:val="0"/>
    <w:pPr>
      <w:spacing w:before="0" w:after="120"/>
    </w:pPr>
    <w:rPr>
      <w:i/>
    </w:rPr>
  </w:style>
  <w:style w:type="paragraph" w:styleId="13">
    <w:name w:val="Block Text"/>
    <w:basedOn w:val="3"/>
    <w:next w:val="3"/>
    <w:unhideWhenUsed/>
    <w:qFormat/>
    <w:uiPriority w:val="9"/>
    <w:pPr>
      <w:spacing w:before="100" w:after="100"/>
      <w:ind w:left="480" w:right="480" w:firstLine="0"/>
    </w:pPr>
  </w:style>
  <w:style w:type="paragraph" w:styleId="14">
    <w:name w:val="toc 3"/>
    <w:basedOn w:val="1"/>
    <w:next w:val="1"/>
    <w:uiPriority w:val="0"/>
    <w:pPr>
      <w:ind w:left="840" w:leftChars="400"/>
    </w:pPr>
  </w:style>
  <w:style w:type="paragraph" w:styleId="15">
    <w:name w:val="Date"/>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6">
    <w:name w:val="toc 1"/>
    <w:basedOn w:val="1"/>
    <w:next w:val="1"/>
    <w:uiPriority w:val="0"/>
  </w:style>
  <w:style w:type="paragraph" w:styleId="17">
    <w:name w:val="Subtitle"/>
    <w:next w:val="3"/>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8">
    <w:name w:val="footnote text"/>
    <w:basedOn w:val="1"/>
    <w:unhideWhenUsed/>
    <w:qFormat/>
    <w:uiPriority w:val="9"/>
  </w:style>
  <w:style w:type="paragraph" w:styleId="19">
    <w:name w:val="toc 2"/>
    <w:basedOn w:val="1"/>
    <w:next w:val="1"/>
    <w:uiPriority w:val="0"/>
    <w:pPr>
      <w:ind w:left="420" w:leftChars="200"/>
    </w:pPr>
  </w:style>
  <w:style w:type="paragraph" w:styleId="20">
    <w:name w:val="Title"/>
    <w:next w:val="3"/>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character" w:styleId="23">
    <w:name w:val="Strong"/>
    <w:basedOn w:val="22"/>
    <w:uiPriority w:val="0"/>
    <w:rPr>
      <w:b/>
    </w:rPr>
  </w:style>
  <w:style w:type="character" w:styleId="24">
    <w:name w:val="Hyperlink"/>
    <w:basedOn w:val="25"/>
    <w:qFormat/>
    <w:uiPriority w:val="0"/>
    <w:rPr>
      <w:color w:val="4874CB" w:themeColor="accent1"/>
    </w:rPr>
  </w:style>
  <w:style w:type="character" w:customStyle="1" w:styleId="25">
    <w:name w:val="Body Text Char"/>
    <w:basedOn w:val="22"/>
    <w:link w:val="3"/>
    <w:qFormat/>
    <w:uiPriority w:val="0"/>
  </w:style>
  <w:style w:type="character" w:styleId="26">
    <w:name w:val="footnote reference"/>
    <w:basedOn w:val="25"/>
    <w:qFormat/>
    <w:uiPriority w:val="0"/>
    <w:rPr>
      <w:vertAlign w:val="superscript"/>
    </w:rPr>
  </w:style>
  <w:style w:type="paragraph" w:customStyle="1" w:styleId="27">
    <w:name w:val="First Paragraph"/>
    <w:basedOn w:val="3"/>
    <w:next w:val="3"/>
    <w:qFormat/>
    <w:uiPriority w:val="0"/>
  </w:style>
  <w:style w:type="paragraph" w:customStyle="1" w:styleId="28">
    <w:name w:val="Compact"/>
    <w:basedOn w:val="3"/>
    <w:qFormat/>
    <w:uiPriority w:val="0"/>
    <w:pPr>
      <w:spacing w:before="36" w:after="36"/>
    </w:pPr>
  </w:style>
  <w:style w:type="paragraph" w:customStyle="1" w:styleId="29">
    <w:name w:val="Author"/>
    <w:next w:val="3"/>
    <w:qFormat/>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customStyle="1" w:styleId="30">
    <w:name w:val="Abstract Title"/>
    <w:basedOn w:val="1"/>
    <w:next w:val="31"/>
    <w:qFormat/>
    <w:uiPriority w:val="0"/>
    <w:pPr>
      <w:keepNext/>
      <w:keepLines/>
      <w:spacing w:before="300" w:after="0"/>
      <w:jc w:val="center"/>
    </w:pPr>
    <w:rPr>
      <w:b/>
      <w:color w:val="345A8A"/>
      <w:sz w:val="20"/>
      <w:szCs w:val="20"/>
    </w:rPr>
  </w:style>
  <w:style w:type="paragraph" w:customStyle="1" w:styleId="31">
    <w:name w:val="Abstract"/>
    <w:basedOn w:val="1"/>
    <w:next w:val="3"/>
    <w:qFormat/>
    <w:uiPriority w:val="0"/>
    <w:pPr>
      <w:keepNext/>
      <w:keepLines/>
      <w:spacing w:before="100" w:after="300"/>
    </w:pPr>
    <w:rPr>
      <w:sz w:val="20"/>
      <w:szCs w:val="20"/>
    </w:rPr>
  </w:style>
  <w:style w:type="paragraph" w:customStyle="1" w:styleId="32">
    <w:name w:val="Bibliography"/>
    <w:basedOn w:val="1"/>
    <w:qFormat/>
    <w:uiPriority w:val="0"/>
  </w:style>
  <w:style w:type="paragraph" w:customStyle="1" w:styleId="33">
    <w:name w:val="Footnote Block Text"/>
    <w:unhideWhenUsed/>
    <w:qFormat/>
    <w:uiPriority w:val="9"/>
    <w:pPr>
      <w:spacing w:before="100" w:after="100"/>
      <w:ind w:left="480" w:right="480" w:firstLine="0"/>
    </w:pPr>
    <w:rPr>
      <w:rFonts w:asciiTheme="minorHAnsi" w:hAnsiTheme="minorHAnsi" w:eastAsiaTheme="minorHAnsi" w:cstheme="minorBidi"/>
      <w:sz w:val="24"/>
      <w:szCs w:val="24"/>
      <w:lang w:val="en-US" w:eastAsia="en-US" w:bidi="ar-SA"/>
    </w:rPr>
  </w:style>
  <w:style w:type="table" w:customStyle="1" w:styleId="34">
    <w:name w:val="Table"/>
    <w:semiHidden/>
    <w:unhideWhenUsed/>
    <w:qFormat/>
    <w:uiPriority w:val="0"/>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paragraph" w:customStyle="1" w:styleId="35">
    <w:name w:val="Definition Term"/>
    <w:basedOn w:val="1"/>
    <w:next w:val="36"/>
    <w:qFormat/>
    <w:uiPriority w:val="0"/>
    <w:pPr>
      <w:keepNext/>
      <w:keepLines/>
      <w:spacing w:after="0"/>
    </w:pPr>
    <w:rPr>
      <w:b/>
    </w:rPr>
  </w:style>
  <w:style w:type="paragraph" w:customStyle="1" w:styleId="36">
    <w:name w:val="Definition"/>
    <w:basedOn w:val="1"/>
    <w:qFormat/>
    <w:uiPriority w:val="0"/>
  </w:style>
  <w:style w:type="paragraph" w:customStyle="1" w:styleId="37">
    <w:name w:val="Table Caption"/>
    <w:basedOn w:val="12"/>
    <w:qFormat/>
    <w:uiPriority w:val="0"/>
    <w:pPr>
      <w:keepNext/>
    </w:pPr>
  </w:style>
  <w:style w:type="paragraph" w:customStyle="1" w:styleId="38">
    <w:name w:val="Image Caption"/>
    <w:basedOn w:val="12"/>
    <w:qFormat/>
    <w:uiPriority w:val="0"/>
  </w:style>
  <w:style w:type="paragraph" w:customStyle="1" w:styleId="39">
    <w:name w:val="Figure"/>
    <w:basedOn w:val="1"/>
    <w:qFormat/>
    <w:uiPriority w:val="0"/>
  </w:style>
  <w:style w:type="paragraph" w:customStyle="1" w:styleId="40">
    <w:name w:val="Captioned Figure"/>
    <w:basedOn w:val="39"/>
    <w:qFormat/>
    <w:uiPriority w:val="0"/>
    <w:pPr>
      <w:keepNext/>
    </w:pPr>
  </w:style>
  <w:style w:type="character" w:customStyle="1" w:styleId="41">
    <w:name w:val="Verbatim Char"/>
    <w:basedOn w:val="25"/>
    <w:link w:val="42"/>
    <w:qFormat/>
    <w:uiPriority w:val="0"/>
    <w:rPr>
      <w:rFonts w:ascii="Consolas" w:hAnsi="Consolas"/>
      <w:sz w:val="22"/>
    </w:rPr>
  </w:style>
  <w:style w:type="paragraph" w:customStyle="1" w:styleId="42">
    <w:name w:val="Source Code"/>
    <w:basedOn w:val="1"/>
    <w:link w:val="41"/>
    <w:qFormat/>
    <w:uiPriority w:val="0"/>
    <w:pPr>
      <w:wordWrap w:val="0"/>
    </w:pPr>
  </w:style>
  <w:style w:type="character" w:customStyle="1" w:styleId="43">
    <w:name w:val="Section Number"/>
    <w:basedOn w:val="25"/>
    <w:qFormat/>
    <w:uiPriority w:val="0"/>
  </w:style>
  <w:style w:type="paragraph" w:customStyle="1" w:styleId="44">
    <w:name w:val="TOC Heading"/>
    <w:basedOn w:val="2"/>
    <w:next w:val="3"/>
    <w:unhideWhenUsed/>
    <w:qFormat/>
    <w:uiPriority w:val="39"/>
    <w:pPr>
      <w:spacing w:before="240" w:line="259" w:lineRule="auto"/>
      <w:outlineLvl w:val="9"/>
    </w:pPr>
    <w:rPr>
      <w:rFonts w:asciiTheme="majorHAnsi" w:hAnsiTheme="majorHAnsi" w:eastAsiaTheme="majorEastAsia" w:cstheme="majorBidi"/>
      <w:color w:val="2D54A0" w:themeColor="accent1" w:themeShade="BF"/>
    </w:rPr>
  </w:style>
  <w:style w:type="character" w:customStyle="1" w:styleId="45">
    <w:name w:val="KeywordTok"/>
    <w:basedOn w:val="41"/>
    <w:qFormat/>
    <w:uiPriority w:val="0"/>
    <w:rPr>
      <w:b/>
      <w:color w:val="007020"/>
    </w:rPr>
  </w:style>
  <w:style w:type="character" w:customStyle="1" w:styleId="46">
    <w:name w:val="DataTypeTok"/>
    <w:basedOn w:val="41"/>
    <w:qFormat/>
    <w:uiPriority w:val="0"/>
    <w:rPr>
      <w:color w:val="902000"/>
    </w:rPr>
  </w:style>
  <w:style w:type="character" w:customStyle="1" w:styleId="47">
    <w:name w:val="DecValTok"/>
    <w:basedOn w:val="41"/>
    <w:qFormat/>
    <w:uiPriority w:val="0"/>
    <w:rPr>
      <w:color w:val="40A070"/>
    </w:rPr>
  </w:style>
  <w:style w:type="character" w:customStyle="1" w:styleId="48">
    <w:name w:val="BaseNTok"/>
    <w:basedOn w:val="41"/>
    <w:qFormat/>
    <w:uiPriority w:val="0"/>
    <w:rPr>
      <w:color w:val="40A070"/>
    </w:rPr>
  </w:style>
  <w:style w:type="character" w:customStyle="1" w:styleId="49">
    <w:name w:val="FloatTok"/>
    <w:basedOn w:val="41"/>
    <w:qFormat/>
    <w:uiPriority w:val="0"/>
    <w:rPr>
      <w:color w:val="40A070"/>
    </w:rPr>
  </w:style>
  <w:style w:type="character" w:customStyle="1" w:styleId="50">
    <w:name w:val="ConstantTok"/>
    <w:basedOn w:val="41"/>
    <w:qFormat/>
    <w:uiPriority w:val="0"/>
    <w:rPr>
      <w:color w:val="880000"/>
    </w:rPr>
  </w:style>
  <w:style w:type="character" w:customStyle="1" w:styleId="51">
    <w:name w:val="CharTok"/>
    <w:basedOn w:val="41"/>
    <w:qFormat/>
    <w:uiPriority w:val="0"/>
    <w:rPr>
      <w:color w:val="4070A0"/>
    </w:rPr>
  </w:style>
  <w:style w:type="character" w:customStyle="1" w:styleId="52">
    <w:name w:val="SpecialCharTok"/>
    <w:basedOn w:val="41"/>
    <w:qFormat/>
    <w:uiPriority w:val="0"/>
    <w:rPr>
      <w:color w:val="4070A0"/>
    </w:rPr>
  </w:style>
  <w:style w:type="character" w:customStyle="1" w:styleId="53">
    <w:name w:val="StringTok"/>
    <w:basedOn w:val="41"/>
    <w:qFormat/>
    <w:uiPriority w:val="0"/>
    <w:rPr>
      <w:color w:val="4070A0"/>
    </w:rPr>
  </w:style>
  <w:style w:type="character" w:customStyle="1" w:styleId="54">
    <w:name w:val="VerbatimStringTok"/>
    <w:basedOn w:val="41"/>
    <w:qFormat/>
    <w:uiPriority w:val="0"/>
    <w:rPr>
      <w:color w:val="4070A0"/>
    </w:rPr>
  </w:style>
  <w:style w:type="character" w:customStyle="1" w:styleId="55">
    <w:name w:val="SpecialStringTok"/>
    <w:basedOn w:val="41"/>
    <w:qFormat/>
    <w:uiPriority w:val="0"/>
    <w:rPr>
      <w:color w:val="BB6688"/>
    </w:rPr>
  </w:style>
  <w:style w:type="character" w:customStyle="1" w:styleId="56">
    <w:name w:val="ImportTok"/>
    <w:basedOn w:val="41"/>
    <w:qFormat/>
    <w:uiPriority w:val="0"/>
    <w:rPr>
      <w:b/>
      <w:color w:val="008000"/>
    </w:rPr>
  </w:style>
  <w:style w:type="character" w:customStyle="1" w:styleId="57">
    <w:name w:val="CommentTok"/>
    <w:basedOn w:val="41"/>
    <w:qFormat/>
    <w:uiPriority w:val="0"/>
    <w:rPr>
      <w:i/>
      <w:color w:val="60A0B0"/>
    </w:rPr>
  </w:style>
  <w:style w:type="character" w:customStyle="1" w:styleId="58">
    <w:name w:val="DocumentationTok"/>
    <w:basedOn w:val="41"/>
    <w:qFormat/>
    <w:uiPriority w:val="0"/>
    <w:rPr>
      <w:i/>
      <w:color w:val="BA2121"/>
    </w:rPr>
  </w:style>
  <w:style w:type="character" w:customStyle="1" w:styleId="59">
    <w:name w:val="AnnotationTok"/>
    <w:basedOn w:val="41"/>
    <w:uiPriority w:val="0"/>
    <w:rPr>
      <w:b/>
      <w:i/>
      <w:color w:val="60A0B0"/>
    </w:rPr>
  </w:style>
  <w:style w:type="character" w:customStyle="1" w:styleId="60">
    <w:name w:val="CommentVarTok"/>
    <w:basedOn w:val="41"/>
    <w:qFormat/>
    <w:uiPriority w:val="0"/>
    <w:rPr>
      <w:b/>
      <w:i/>
      <w:color w:val="60A0B0"/>
    </w:rPr>
  </w:style>
  <w:style w:type="character" w:customStyle="1" w:styleId="61">
    <w:name w:val="OtherTok"/>
    <w:basedOn w:val="41"/>
    <w:qFormat/>
    <w:uiPriority w:val="0"/>
    <w:rPr>
      <w:color w:val="007020"/>
    </w:rPr>
  </w:style>
  <w:style w:type="character" w:customStyle="1" w:styleId="62">
    <w:name w:val="FunctionTok"/>
    <w:basedOn w:val="41"/>
    <w:uiPriority w:val="0"/>
    <w:rPr>
      <w:color w:val="06287E"/>
    </w:rPr>
  </w:style>
  <w:style w:type="character" w:customStyle="1" w:styleId="63">
    <w:name w:val="VariableTok"/>
    <w:basedOn w:val="41"/>
    <w:qFormat/>
    <w:uiPriority w:val="0"/>
    <w:rPr>
      <w:color w:val="19177C"/>
    </w:rPr>
  </w:style>
  <w:style w:type="character" w:customStyle="1" w:styleId="64">
    <w:name w:val="ControlFlowTok"/>
    <w:basedOn w:val="41"/>
    <w:qFormat/>
    <w:uiPriority w:val="0"/>
    <w:rPr>
      <w:b/>
      <w:color w:val="007020"/>
    </w:rPr>
  </w:style>
  <w:style w:type="character" w:customStyle="1" w:styleId="65">
    <w:name w:val="OperatorTok"/>
    <w:basedOn w:val="41"/>
    <w:qFormat/>
    <w:uiPriority w:val="0"/>
    <w:rPr>
      <w:color w:val="666666"/>
    </w:rPr>
  </w:style>
  <w:style w:type="character" w:customStyle="1" w:styleId="66">
    <w:name w:val="BuiltInTok"/>
    <w:basedOn w:val="41"/>
    <w:qFormat/>
    <w:uiPriority w:val="0"/>
    <w:rPr>
      <w:color w:val="008000"/>
    </w:rPr>
  </w:style>
  <w:style w:type="character" w:customStyle="1" w:styleId="67">
    <w:name w:val="ExtensionTok"/>
    <w:basedOn w:val="41"/>
    <w:qFormat/>
    <w:uiPriority w:val="0"/>
  </w:style>
  <w:style w:type="character" w:customStyle="1" w:styleId="68">
    <w:name w:val="PreprocessorTok"/>
    <w:basedOn w:val="41"/>
    <w:qFormat/>
    <w:uiPriority w:val="0"/>
    <w:rPr>
      <w:color w:val="BC7A00"/>
    </w:rPr>
  </w:style>
  <w:style w:type="character" w:customStyle="1" w:styleId="69">
    <w:name w:val="AttributeTok"/>
    <w:basedOn w:val="41"/>
    <w:qFormat/>
    <w:uiPriority w:val="0"/>
    <w:rPr>
      <w:color w:val="7D9029"/>
    </w:rPr>
  </w:style>
  <w:style w:type="character" w:customStyle="1" w:styleId="70">
    <w:name w:val="RegionMarkerTok"/>
    <w:basedOn w:val="41"/>
    <w:qFormat/>
    <w:uiPriority w:val="0"/>
  </w:style>
  <w:style w:type="character" w:customStyle="1" w:styleId="71">
    <w:name w:val="InformationTok"/>
    <w:basedOn w:val="41"/>
    <w:qFormat/>
    <w:uiPriority w:val="0"/>
    <w:rPr>
      <w:b/>
      <w:i/>
      <w:color w:val="60A0B0"/>
    </w:rPr>
  </w:style>
  <w:style w:type="character" w:customStyle="1" w:styleId="72">
    <w:name w:val="WarningTok"/>
    <w:basedOn w:val="41"/>
    <w:qFormat/>
    <w:uiPriority w:val="0"/>
    <w:rPr>
      <w:b/>
      <w:i/>
      <w:color w:val="60A0B0"/>
    </w:rPr>
  </w:style>
  <w:style w:type="character" w:customStyle="1" w:styleId="73">
    <w:name w:val="AlertTok"/>
    <w:basedOn w:val="41"/>
    <w:qFormat/>
    <w:uiPriority w:val="0"/>
    <w:rPr>
      <w:b/>
      <w:color w:val="FF0000"/>
    </w:rPr>
  </w:style>
  <w:style w:type="character" w:customStyle="1" w:styleId="74">
    <w:name w:val="ErrorTok"/>
    <w:basedOn w:val="41"/>
    <w:qFormat/>
    <w:uiPriority w:val="0"/>
    <w:rPr>
      <w:b/>
      <w:color w:val="FF0000"/>
    </w:rPr>
  </w:style>
  <w:style w:type="character" w:customStyle="1" w:styleId="75">
    <w:name w:val="NormalTok"/>
    <w:basedOn w:val="41"/>
    <w:qFormat/>
    <w:uiPriority w:val="0"/>
  </w:style>
  <w:style w:type="character" w:customStyle="1" w:styleId="76">
    <w:name w:val="关键词"/>
    <w:uiPriority w:val="0"/>
    <w:rPr>
      <w:rFonts w:ascii="Times New Roman" w:hAnsi="Times New Roman" w:eastAsia="宋体" w:cs="宋体"/>
      <w:b/>
      <w:bCs/>
      <w:sz w:val="24"/>
    </w:rPr>
  </w:style>
  <w:style w:type="paragraph" w:customStyle="1" w:styleId="77">
    <w:name w:val="章标题"/>
    <w:next w:val="1"/>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bidi="ar-SA"/>
    </w:rPr>
  </w:style>
  <w:style w:type="paragraph" w:customStyle="1" w:styleId="78">
    <w:name w:val="题注1"/>
    <w:next w:val="1"/>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 w:type="paragraph" w:customStyle="1" w:styleId="79">
    <w:name w:val="参考文献条目"/>
    <w:next w:val="1"/>
    <w:uiPriority w:val="0"/>
    <w:pPr>
      <w:widowControl w:val="0"/>
      <w:adjustRightInd w:val="0"/>
      <w:spacing w:line="300" w:lineRule="auto"/>
      <w:ind w:left="200" w:hanging="200" w:hangingChars="200"/>
      <w:jc w:val="both"/>
    </w:pPr>
    <w:rPr>
      <w:rFonts w:ascii="Times New Roman" w:hAnsi="Times New Roman" w:eastAsia="宋体" w:cs="宋体"/>
      <w:kern w:val="2"/>
      <w:sz w:val="21"/>
      <w:szCs w:val="21"/>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notes" Target="footnotes.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2294</Words>
  <Characters>3613</Characters>
  <Lines>12</Lines>
  <Paragraphs>8</Paragraphs>
  <TotalTime>3</TotalTime>
  <ScaleCrop>false</ScaleCrop>
  <LinksUpToDate>false</LinksUpToDate>
  <CharactersWithSpaces>3871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2026-03-23T10:41:00Z</dcterms:created>
  <dc:creator>liu</dc:creator>
  <cp:lastModifiedBy>liu</cp:lastModifiedBy>
  <dcterms:modified xsi:type="dcterms:W3CDTF">2026-03-23T13:55:05Z</dcterms:modified>
  <dc:title>某轻型轿车基于SolidWorks的制动器优化设计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ntsize">
    <vt:lpwstr>12pt</vt:lpwstr>
  </property>
  <property fmtid="{D5CDD505-2E9C-101B-9397-08002B2CF9AE}" pid="3" name="geometry">
    <vt:lpwstr>margin=2.5cm</vt:lpwstr>
  </property>
  <property fmtid="{D5CDD505-2E9C-101B-9397-08002B2CF9AE}" pid="4" name="linestretch">
    <vt:lpwstr>1.5</vt:lpwstr>
  </property>
  <property fmtid="{D5CDD505-2E9C-101B-9397-08002B2CF9AE}" pid="5" name="KSOTemplateDocerSaveRecord">
    <vt:lpwstr>eyJoZGlkIjoiM2FjZmM1ZjRlOTM0ZjVhNzdkNTUwYjU1MGFiNzA0ZjAiLCJ1c2VySWQiOiIzMjg2NzE1MzkifQ==</vt:lpwstr>
  </property>
  <property fmtid="{D5CDD505-2E9C-101B-9397-08002B2CF9AE}" pid="6" name="KSOProductBuildVer">
    <vt:lpwstr>2052-12.1.0.25225</vt:lpwstr>
  </property>
  <property fmtid="{D5CDD505-2E9C-101B-9397-08002B2CF9AE}" pid="7" name="ICV">
    <vt:lpwstr>182C6015F68045EA8C2A757281D0CFA9_12</vt:lpwstr>
  </property>
</Properties>
</file>